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p w14:paraId="4B78C43B" w14:textId="64E641D7" w:rsidR="0067173F" w:rsidRDefault="00383300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499553517"/>
      <w:r>
        <w:rPr>
          <w:rFonts w:asciiTheme="minorHAnsi" w:hAnsiTheme="minorHAnsi" w:cstheme="minorHAnsi"/>
          <w:b/>
          <w:sz w:val="28"/>
          <w:szCs w:val="28"/>
        </w:rPr>
        <w:t xml:space="preserve">40 proc. polskich MŚP </w:t>
      </w:r>
      <w:r w:rsidR="00860412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="001D5DCC">
        <w:rPr>
          <w:rFonts w:asciiTheme="minorHAnsi" w:hAnsiTheme="minorHAnsi" w:cstheme="minorHAnsi"/>
          <w:b/>
          <w:sz w:val="28"/>
          <w:szCs w:val="28"/>
        </w:rPr>
        <w:t>branż</w:t>
      </w:r>
      <w:r w:rsidR="00A653EF">
        <w:rPr>
          <w:rFonts w:asciiTheme="minorHAnsi" w:hAnsiTheme="minorHAnsi" w:cstheme="minorHAnsi"/>
          <w:b/>
          <w:sz w:val="28"/>
          <w:szCs w:val="28"/>
        </w:rPr>
        <w:t xml:space="preserve">y </w:t>
      </w:r>
      <w:r w:rsidR="00A02EF5">
        <w:rPr>
          <w:rFonts w:asciiTheme="minorHAnsi" w:hAnsiTheme="minorHAnsi" w:cstheme="minorHAnsi"/>
          <w:b/>
          <w:sz w:val="28"/>
          <w:szCs w:val="28"/>
        </w:rPr>
        <w:t xml:space="preserve">obróbki </w:t>
      </w:r>
      <w:r>
        <w:rPr>
          <w:rFonts w:asciiTheme="minorHAnsi" w:hAnsiTheme="minorHAnsi" w:cstheme="minorHAnsi"/>
          <w:b/>
          <w:sz w:val="28"/>
          <w:szCs w:val="28"/>
        </w:rPr>
        <w:t>metal</w:t>
      </w:r>
      <w:r w:rsidR="00A02EF5">
        <w:rPr>
          <w:rFonts w:asciiTheme="minorHAnsi" w:hAnsiTheme="minorHAnsi" w:cstheme="minorHAnsi"/>
          <w:b/>
          <w:sz w:val="28"/>
          <w:szCs w:val="28"/>
        </w:rPr>
        <w:t>i</w:t>
      </w:r>
      <w:r w:rsidR="001D5DC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zwiększ</w:t>
      </w:r>
      <w:r w:rsidR="00B3331B">
        <w:rPr>
          <w:rFonts w:asciiTheme="minorHAnsi" w:hAnsiTheme="minorHAnsi" w:cstheme="minorHAnsi"/>
          <w:b/>
          <w:sz w:val="28"/>
          <w:szCs w:val="28"/>
        </w:rPr>
        <w:t xml:space="preserve">yło </w:t>
      </w:r>
      <w:r w:rsidR="00DE136E">
        <w:rPr>
          <w:rFonts w:asciiTheme="minorHAnsi" w:hAnsiTheme="minorHAnsi" w:cstheme="minorHAnsi"/>
          <w:b/>
          <w:sz w:val="28"/>
          <w:szCs w:val="28"/>
        </w:rPr>
        <w:t xml:space="preserve">inwestycje w </w:t>
      </w:r>
      <w:r w:rsidR="00821C21">
        <w:rPr>
          <w:rFonts w:asciiTheme="minorHAnsi" w:hAnsiTheme="minorHAnsi" w:cstheme="minorHAnsi"/>
          <w:b/>
          <w:sz w:val="28"/>
          <w:szCs w:val="28"/>
        </w:rPr>
        <w:t>park maszyn</w:t>
      </w:r>
      <w:r w:rsidR="00B708A1">
        <w:rPr>
          <w:rFonts w:asciiTheme="minorHAnsi" w:hAnsiTheme="minorHAnsi" w:cstheme="minorHAnsi"/>
          <w:b/>
          <w:sz w:val="28"/>
          <w:szCs w:val="28"/>
        </w:rPr>
        <w:t xml:space="preserve"> i</w:t>
      </w:r>
      <w:r w:rsidR="00B118DA">
        <w:rPr>
          <w:rFonts w:asciiTheme="minorHAnsi" w:hAnsiTheme="minorHAnsi" w:cstheme="minorHAnsi"/>
          <w:b/>
          <w:sz w:val="28"/>
          <w:szCs w:val="28"/>
        </w:rPr>
        <w:t> </w:t>
      </w:r>
      <w:r w:rsidR="00B708A1">
        <w:rPr>
          <w:rFonts w:asciiTheme="minorHAnsi" w:hAnsiTheme="minorHAnsi" w:cstheme="minorHAnsi"/>
          <w:b/>
          <w:sz w:val="28"/>
          <w:szCs w:val="28"/>
        </w:rPr>
        <w:t>urządzeń</w:t>
      </w:r>
    </w:p>
    <w:bookmarkEnd w:id="0"/>
    <w:bookmarkEnd w:id="4"/>
    <w:p w14:paraId="071432AC" w14:textId="30A0C158" w:rsidR="0076249F" w:rsidRDefault="002A54AC" w:rsidP="00A8200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</w:t>
      </w:r>
      <w:r w:rsidR="007B12E0">
        <w:rPr>
          <w:rFonts w:asciiTheme="minorHAnsi" w:hAnsiTheme="minorHAnsi" w:cstheme="minorHAnsi"/>
          <w:b/>
          <w:sz w:val="22"/>
          <w:szCs w:val="22"/>
        </w:rPr>
        <w:t xml:space="preserve">irmy z branży </w:t>
      </w:r>
      <w:r w:rsidR="00B3331B">
        <w:rPr>
          <w:rFonts w:asciiTheme="minorHAnsi" w:hAnsiTheme="minorHAnsi" w:cstheme="minorHAnsi"/>
          <w:b/>
          <w:sz w:val="22"/>
          <w:szCs w:val="22"/>
        </w:rPr>
        <w:t xml:space="preserve">obróbki </w:t>
      </w:r>
      <w:r w:rsidR="007B12E0">
        <w:rPr>
          <w:rFonts w:asciiTheme="minorHAnsi" w:hAnsiTheme="minorHAnsi" w:cstheme="minorHAnsi"/>
          <w:b/>
          <w:sz w:val="22"/>
          <w:szCs w:val="22"/>
        </w:rPr>
        <w:t>metali</w:t>
      </w:r>
      <w:r w:rsidR="00B708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1C3">
        <w:rPr>
          <w:rFonts w:asciiTheme="minorHAnsi" w:hAnsiTheme="minorHAnsi" w:cstheme="minorHAnsi"/>
          <w:b/>
          <w:sz w:val="22"/>
          <w:szCs w:val="22"/>
        </w:rPr>
        <w:t>mocno</w:t>
      </w:r>
      <w:r w:rsidR="007B12E0">
        <w:rPr>
          <w:rFonts w:asciiTheme="minorHAnsi" w:hAnsiTheme="minorHAnsi" w:cstheme="minorHAnsi"/>
          <w:b/>
          <w:sz w:val="22"/>
          <w:szCs w:val="22"/>
        </w:rPr>
        <w:t xml:space="preserve"> inwest</w:t>
      </w:r>
      <w:r w:rsidR="00D01334">
        <w:rPr>
          <w:rFonts w:asciiTheme="minorHAnsi" w:hAnsiTheme="minorHAnsi" w:cstheme="minorHAnsi"/>
          <w:b/>
          <w:sz w:val="22"/>
          <w:szCs w:val="22"/>
        </w:rPr>
        <w:t>uj</w:t>
      </w:r>
      <w:r w:rsidR="00B708A1">
        <w:rPr>
          <w:rFonts w:asciiTheme="minorHAnsi" w:hAnsiTheme="minorHAnsi" w:cstheme="minorHAnsi"/>
          <w:b/>
          <w:sz w:val="22"/>
          <w:szCs w:val="22"/>
        </w:rPr>
        <w:t>ą</w:t>
      </w:r>
      <w:r w:rsidR="00D013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2E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235237">
        <w:rPr>
          <w:rFonts w:asciiTheme="minorHAnsi" w:hAnsiTheme="minorHAnsi" w:cstheme="minorHAnsi"/>
          <w:b/>
          <w:sz w:val="22"/>
          <w:szCs w:val="22"/>
        </w:rPr>
        <w:t xml:space="preserve">sprzęt </w:t>
      </w:r>
      <w:r w:rsidR="00166775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7B12E0">
        <w:rPr>
          <w:rFonts w:asciiTheme="minorHAnsi" w:hAnsiTheme="minorHAnsi" w:cstheme="minorHAnsi"/>
          <w:b/>
          <w:sz w:val="22"/>
          <w:szCs w:val="22"/>
        </w:rPr>
        <w:t>wynika</w:t>
      </w:r>
      <w:r w:rsidR="002F48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12E0">
        <w:rPr>
          <w:rFonts w:asciiTheme="minorHAnsi" w:hAnsiTheme="minorHAnsi" w:cstheme="minorHAnsi"/>
          <w:b/>
          <w:sz w:val="22"/>
          <w:szCs w:val="22"/>
        </w:rPr>
        <w:t>z</w:t>
      </w:r>
      <w:r w:rsidR="00493D23">
        <w:rPr>
          <w:rFonts w:asciiTheme="minorHAnsi" w:hAnsiTheme="minorHAnsi" w:cstheme="minorHAnsi"/>
          <w:b/>
          <w:sz w:val="22"/>
          <w:szCs w:val="22"/>
        </w:rPr>
        <w:t> </w:t>
      </w:r>
      <w:r w:rsidR="007B12E0">
        <w:rPr>
          <w:rFonts w:asciiTheme="minorHAnsi" w:hAnsiTheme="minorHAnsi" w:cstheme="minorHAnsi"/>
          <w:b/>
          <w:sz w:val="22"/>
          <w:szCs w:val="22"/>
        </w:rPr>
        <w:t xml:space="preserve">badania przeprowadzonego </w:t>
      </w:r>
      <w:r w:rsidR="001A296E">
        <w:rPr>
          <w:rFonts w:asciiTheme="minorHAnsi" w:hAnsiTheme="minorHAnsi" w:cstheme="minorHAnsi"/>
          <w:b/>
          <w:sz w:val="22"/>
          <w:szCs w:val="22"/>
        </w:rPr>
        <w:t>na zlecenie</w:t>
      </w:r>
      <w:r w:rsidR="007B12E0">
        <w:rPr>
          <w:rFonts w:asciiTheme="minorHAnsi" w:hAnsiTheme="minorHAnsi" w:cstheme="minorHAnsi"/>
          <w:b/>
          <w:sz w:val="22"/>
          <w:szCs w:val="22"/>
        </w:rPr>
        <w:t xml:space="preserve"> Siemens Financial Services. </w:t>
      </w:r>
      <w:r w:rsidR="00034DD1">
        <w:rPr>
          <w:rFonts w:asciiTheme="minorHAnsi" w:hAnsiTheme="minorHAnsi" w:cstheme="minorHAnsi"/>
          <w:b/>
          <w:sz w:val="22"/>
          <w:szCs w:val="22"/>
        </w:rPr>
        <w:t xml:space="preserve">Aż 40 proc. </w:t>
      </w:r>
      <w:r w:rsidR="00661E95">
        <w:rPr>
          <w:rFonts w:asciiTheme="minorHAnsi" w:hAnsiTheme="minorHAnsi" w:cstheme="minorHAnsi"/>
          <w:b/>
          <w:sz w:val="22"/>
          <w:szCs w:val="22"/>
        </w:rPr>
        <w:t>ankietowanych przedsiębiorstw</w:t>
      </w:r>
      <w:r w:rsidR="000A234F">
        <w:rPr>
          <w:rFonts w:asciiTheme="minorHAnsi" w:hAnsiTheme="minorHAnsi" w:cstheme="minorHAnsi"/>
          <w:b/>
          <w:sz w:val="22"/>
          <w:szCs w:val="22"/>
        </w:rPr>
        <w:t xml:space="preserve"> przeznaczył</w:t>
      </w:r>
      <w:r w:rsidR="00222FCA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0A234F">
        <w:rPr>
          <w:rFonts w:asciiTheme="minorHAnsi" w:hAnsiTheme="minorHAnsi" w:cstheme="minorHAnsi"/>
          <w:b/>
          <w:sz w:val="22"/>
          <w:szCs w:val="22"/>
        </w:rPr>
        <w:t>wyższ</w:t>
      </w:r>
      <w:r w:rsidR="00217F5C">
        <w:rPr>
          <w:rFonts w:asciiTheme="minorHAnsi" w:hAnsiTheme="minorHAnsi" w:cstheme="minorHAnsi"/>
          <w:b/>
          <w:sz w:val="22"/>
          <w:szCs w:val="22"/>
        </w:rPr>
        <w:t>e</w:t>
      </w:r>
      <w:r w:rsidR="000A2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DD1">
        <w:rPr>
          <w:rFonts w:asciiTheme="minorHAnsi" w:hAnsiTheme="minorHAnsi" w:cstheme="minorHAnsi"/>
          <w:b/>
          <w:sz w:val="22"/>
          <w:szCs w:val="22"/>
        </w:rPr>
        <w:t>nakłady na</w:t>
      </w:r>
      <w:r w:rsidR="00B118DA">
        <w:rPr>
          <w:rFonts w:asciiTheme="minorHAnsi" w:hAnsiTheme="minorHAnsi" w:cstheme="minorHAnsi"/>
          <w:b/>
          <w:sz w:val="22"/>
          <w:szCs w:val="22"/>
        </w:rPr>
        <w:t> </w:t>
      </w:r>
      <w:r w:rsidR="00B45273">
        <w:rPr>
          <w:rFonts w:asciiTheme="minorHAnsi" w:hAnsiTheme="minorHAnsi" w:cstheme="minorHAnsi"/>
          <w:b/>
          <w:sz w:val="22"/>
          <w:szCs w:val="22"/>
        </w:rPr>
        <w:t>odnowienie</w:t>
      </w:r>
      <w:r w:rsidR="00E43B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71C3">
        <w:rPr>
          <w:rFonts w:asciiTheme="minorHAnsi" w:hAnsiTheme="minorHAnsi" w:cstheme="minorHAnsi"/>
          <w:b/>
          <w:sz w:val="22"/>
          <w:szCs w:val="22"/>
        </w:rPr>
        <w:t xml:space="preserve">parku </w:t>
      </w:r>
      <w:r w:rsidR="00034DD1">
        <w:rPr>
          <w:rFonts w:asciiTheme="minorHAnsi" w:hAnsiTheme="minorHAnsi" w:cstheme="minorHAnsi"/>
          <w:b/>
          <w:sz w:val="22"/>
          <w:szCs w:val="22"/>
        </w:rPr>
        <w:t>maszyn</w:t>
      </w:r>
      <w:r w:rsidR="002F48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4DD1">
        <w:rPr>
          <w:rFonts w:asciiTheme="minorHAnsi" w:hAnsiTheme="minorHAnsi" w:cstheme="minorHAnsi"/>
          <w:b/>
          <w:sz w:val="22"/>
          <w:szCs w:val="22"/>
        </w:rPr>
        <w:t>i urządze</w:t>
      </w:r>
      <w:r w:rsidR="002F48A0">
        <w:rPr>
          <w:rFonts w:asciiTheme="minorHAnsi" w:hAnsiTheme="minorHAnsi" w:cstheme="minorHAnsi"/>
          <w:b/>
          <w:sz w:val="22"/>
          <w:szCs w:val="22"/>
        </w:rPr>
        <w:t xml:space="preserve">ń </w:t>
      </w:r>
      <w:r w:rsidR="004450C8">
        <w:rPr>
          <w:rFonts w:asciiTheme="minorHAnsi" w:hAnsiTheme="minorHAnsi" w:cstheme="minorHAnsi"/>
          <w:b/>
          <w:sz w:val="22"/>
          <w:szCs w:val="22"/>
        </w:rPr>
        <w:t xml:space="preserve">w stosunku do </w:t>
      </w:r>
      <w:r w:rsidR="008F2ED5">
        <w:rPr>
          <w:rFonts w:asciiTheme="minorHAnsi" w:hAnsiTheme="minorHAnsi" w:cstheme="minorHAnsi"/>
          <w:b/>
          <w:sz w:val="22"/>
          <w:szCs w:val="22"/>
        </w:rPr>
        <w:t xml:space="preserve">2019 </w:t>
      </w:r>
      <w:r w:rsidR="004450C8">
        <w:rPr>
          <w:rFonts w:asciiTheme="minorHAnsi" w:hAnsiTheme="minorHAnsi" w:cstheme="minorHAnsi"/>
          <w:b/>
          <w:sz w:val="22"/>
          <w:szCs w:val="22"/>
        </w:rPr>
        <w:t xml:space="preserve">roku, a </w:t>
      </w:r>
      <w:r w:rsidR="00217F5C">
        <w:rPr>
          <w:rFonts w:asciiTheme="minorHAnsi" w:hAnsiTheme="minorHAnsi" w:cstheme="minorHAnsi"/>
          <w:b/>
          <w:sz w:val="22"/>
          <w:szCs w:val="22"/>
        </w:rPr>
        <w:t>32 proc.</w:t>
      </w:r>
      <w:r w:rsidR="000A2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0A52">
        <w:rPr>
          <w:rFonts w:asciiTheme="minorHAnsi" w:hAnsiTheme="minorHAnsi" w:cstheme="minorHAnsi"/>
          <w:b/>
          <w:sz w:val="22"/>
          <w:szCs w:val="22"/>
        </w:rPr>
        <w:t>zwiększył</w:t>
      </w:r>
      <w:r w:rsidR="00217F5C">
        <w:rPr>
          <w:rFonts w:asciiTheme="minorHAnsi" w:hAnsiTheme="minorHAnsi" w:cstheme="minorHAnsi"/>
          <w:b/>
          <w:sz w:val="22"/>
          <w:szCs w:val="22"/>
        </w:rPr>
        <w:t>o</w:t>
      </w:r>
      <w:r w:rsidR="00B708A1">
        <w:rPr>
          <w:rFonts w:asciiTheme="minorHAnsi" w:hAnsiTheme="minorHAnsi" w:cstheme="minorHAnsi"/>
          <w:b/>
          <w:sz w:val="22"/>
          <w:szCs w:val="22"/>
        </w:rPr>
        <w:t xml:space="preserve"> także ich</w:t>
      </w:r>
      <w:r w:rsidR="008C59BC">
        <w:rPr>
          <w:rFonts w:asciiTheme="minorHAnsi" w:hAnsiTheme="minorHAnsi" w:cstheme="minorHAnsi"/>
          <w:b/>
          <w:sz w:val="22"/>
          <w:szCs w:val="22"/>
        </w:rPr>
        <w:t> </w:t>
      </w:r>
      <w:r w:rsidR="00ED6394">
        <w:rPr>
          <w:rFonts w:asciiTheme="minorHAnsi" w:hAnsiTheme="minorHAnsi" w:cstheme="minorHAnsi"/>
          <w:b/>
          <w:sz w:val="22"/>
          <w:szCs w:val="22"/>
        </w:rPr>
        <w:t>częstotliwoś</w:t>
      </w:r>
      <w:r w:rsidR="00160A52">
        <w:rPr>
          <w:rFonts w:asciiTheme="minorHAnsi" w:hAnsiTheme="minorHAnsi" w:cstheme="minorHAnsi"/>
          <w:b/>
          <w:sz w:val="22"/>
          <w:szCs w:val="22"/>
        </w:rPr>
        <w:t>ć</w:t>
      </w:r>
      <w:r w:rsidR="004B13B7">
        <w:rPr>
          <w:rFonts w:asciiTheme="minorHAnsi" w:hAnsiTheme="minorHAnsi" w:cstheme="minorHAnsi"/>
          <w:b/>
          <w:sz w:val="22"/>
          <w:szCs w:val="22"/>
        </w:rPr>
        <w:t>.</w:t>
      </w:r>
      <w:r w:rsidR="00AC5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13B7">
        <w:rPr>
          <w:rFonts w:asciiTheme="minorHAnsi" w:hAnsiTheme="minorHAnsi" w:cstheme="minorHAnsi"/>
          <w:b/>
          <w:sz w:val="22"/>
          <w:szCs w:val="22"/>
        </w:rPr>
        <w:t>Firmy</w:t>
      </w:r>
      <w:r w:rsidR="008A07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EF5">
        <w:rPr>
          <w:rFonts w:asciiTheme="minorHAnsi" w:hAnsiTheme="minorHAnsi" w:cstheme="minorHAnsi"/>
          <w:b/>
          <w:sz w:val="22"/>
          <w:szCs w:val="22"/>
        </w:rPr>
        <w:t xml:space="preserve">te </w:t>
      </w:r>
      <w:r w:rsidR="004B13B7">
        <w:rPr>
          <w:rFonts w:asciiTheme="minorHAnsi" w:hAnsiTheme="minorHAnsi" w:cstheme="minorHAnsi"/>
          <w:b/>
          <w:sz w:val="22"/>
          <w:szCs w:val="22"/>
        </w:rPr>
        <w:t xml:space="preserve">stawiają </w:t>
      </w:r>
      <w:r w:rsidR="00BE216A">
        <w:rPr>
          <w:rFonts w:asciiTheme="minorHAnsi" w:hAnsiTheme="minorHAnsi" w:cstheme="minorHAnsi"/>
          <w:b/>
          <w:sz w:val="22"/>
          <w:szCs w:val="22"/>
        </w:rPr>
        <w:t>również</w:t>
      </w:r>
      <w:r w:rsidR="004B13B7">
        <w:rPr>
          <w:rFonts w:asciiTheme="minorHAnsi" w:hAnsiTheme="minorHAnsi" w:cstheme="minorHAnsi"/>
          <w:b/>
          <w:sz w:val="22"/>
          <w:szCs w:val="22"/>
        </w:rPr>
        <w:t xml:space="preserve"> na automatyzację</w:t>
      </w:r>
      <w:r w:rsidR="00E329CC">
        <w:rPr>
          <w:rFonts w:asciiTheme="minorHAnsi" w:hAnsiTheme="minorHAnsi" w:cstheme="minorHAnsi"/>
          <w:b/>
          <w:sz w:val="22"/>
          <w:szCs w:val="22"/>
        </w:rPr>
        <w:t xml:space="preserve"> procesów produkcji. W stosunku do</w:t>
      </w:r>
      <w:r w:rsidR="00B118DA">
        <w:rPr>
          <w:rFonts w:asciiTheme="minorHAnsi" w:hAnsiTheme="minorHAnsi" w:cstheme="minorHAnsi"/>
          <w:b/>
          <w:sz w:val="22"/>
          <w:szCs w:val="22"/>
        </w:rPr>
        <w:t> </w:t>
      </w:r>
      <w:r w:rsidR="00E329CC">
        <w:rPr>
          <w:rFonts w:asciiTheme="minorHAnsi" w:hAnsiTheme="minorHAnsi" w:cstheme="minorHAnsi"/>
          <w:b/>
          <w:sz w:val="22"/>
          <w:szCs w:val="22"/>
        </w:rPr>
        <w:t>ubiegłego roku</w:t>
      </w:r>
      <w:r w:rsidR="00BE216A">
        <w:rPr>
          <w:rFonts w:asciiTheme="minorHAnsi" w:hAnsiTheme="minorHAnsi" w:cstheme="minorHAnsi"/>
          <w:b/>
          <w:sz w:val="22"/>
          <w:szCs w:val="22"/>
        </w:rPr>
        <w:t>,</w:t>
      </w:r>
      <w:r w:rsidR="00E329CC">
        <w:rPr>
          <w:rFonts w:asciiTheme="minorHAnsi" w:hAnsiTheme="minorHAnsi" w:cstheme="minorHAnsi"/>
          <w:b/>
          <w:sz w:val="22"/>
          <w:szCs w:val="22"/>
        </w:rPr>
        <w:t xml:space="preserve"> jej poziom podniosło</w:t>
      </w:r>
      <w:r w:rsidR="004B13B7">
        <w:rPr>
          <w:rFonts w:asciiTheme="minorHAnsi" w:hAnsiTheme="minorHAnsi" w:cstheme="minorHAnsi"/>
          <w:b/>
          <w:sz w:val="22"/>
          <w:szCs w:val="22"/>
        </w:rPr>
        <w:t xml:space="preserve"> 37 proc.</w:t>
      </w:r>
      <w:r w:rsidR="00E329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2588">
        <w:rPr>
          <w:rFonts w:asciiTheme="minorHAnsi" w:hAnsiTheme="minorHAnsi" w:cstheme="minorHAnsi"/>
          <w:b/>
          <w:sz w:val="22"/>
          <w:szCs w:val="22"/>
        </w:rPr>
        <w:t>badanych</w:t>
      </w:r>
      <w:r w:rsidR="00E329CC">
        <w:rPr>
          <w:rFonts w:asciiTheme="minorHAnsi" w:hAnsiTheme="minorHAnsi" w:cstheme="minorHAnsi"/>
          <w:b/>
          <w:sz w:val="22"/>
          <w:szCs w:val="22"/>
        </w:rPr>
        <w:t xml:space="preserve"> przedsiębiorstw.</w:t>
      </w:r>
      <w:r w:rsidR="007A019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F0E3DC" w14:textId="2FA249BB" w:rsidR="00B657B0" w:rsidRDefault="0004217C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Branża metalowa </w:t>
      </w:r>
      <w:r w:rsidR="00B6751C">
        <w:rPr>
          <w:rFonts w:asciiTheme="minorHAnsi" w:hAnsiTheme="minorHAnsi" w:cstheme="minorHAnsi"/>
          <w:b/>
          <w:bCs/>
          <w:sz w:val="22"/>
          <w:szCs w:val="22"/>
        </w:rPr>
        <w:t>ceni</w:t>
      </w:r>
      <w:r w:rsidR="00FE2FB4">
        <w:rPr>
          <w:rFonts w:asciiTheme="minorHAnsi" w:hAnsiTheme="minorHAnsi" w:cstheme="minorHAnsi"/>
          <w:b/>
          <w:bCs/>
          <w:sz w:val="22"/>
          <w:szCs w:val="22"/>
        </w:rPr>
        <w:t xml:space="preserve"> nowoczesny sprzęt</w:t>
      </w:r>
    </w:p>
    <w:p w14:paraId="5AEC9AF0" w14:textId="0ECB1AC5" w:rsidR="005F1600" w:rsidRDefault="00B82D78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</w:t>
      </w:r>
      <w:r w:rsidR="00A601B6">
        <w:rPr>
          <w:rFonts w:asciiTheme="minorHAnsi" w:hAnsiTheme="minorHAnsi" w:cstheme="minorHAnsi"/>
          <w:iCs/>
          <w:sz w:val="22"/>
          <w:szCs w:val="22"/>
        </w:rPr>
        <w:t xml:space="preserve">odmioty </w:t>
      </w:r>
      <w:r>
        <w:rPr>
          <w:rFonts w:asciiTheme="minorHAnsi" w:hAnsiTheme="minorHAnsi" w:cstheme="minorHAnsi"/>
          <w:iCs/>
          <w:sz w:val="22"/>
          <w:szCs w:val="22"/>
        </w:rPr>
        <w:t xml:space="preserve">z branży </w:t>
      </w:r>
      <w:r w:rsidR="00344E4E">
        <w:rPr>
          <w:rFonts w:asciiTheme="minorHAnsi" w:hAnsiTheme="minorHAnsi" w:cstheme="minorHAnsi"/>
          <w:iCs/>
          <w:sz w:val="22"/>
          <w:szCs w:val="22"/>
        </w:rPr>
        <w:t xml:space="preserve">obróbki metali </w:t>
      </w:r>
      <w:r>
        <w:rPr>
          <w:rFonts w:asciiTheme="minorHAnsi" w:hAnsiTheme="minorHAnsi" w:cstheme="minorHAnsi"/>
          <w:iCs/>
          <w:sz w:val="22"/>
          <w:szCs w:val="22"/>
        </w:rPr>
        <w:t>doceniają nowe technologi</w:t>
      </w:r>
      <w:r w:rsidR="00222FCA">
        <w:rPr>
          <w:rFonts w:asciiTheme="minorHAnsi" w:hAnsiTheme="minorHAnsi" w:cstheme="minorHAnsi"/>
          <w:iCs/>
          <w:sz w:val="22"/>
          <w:szCs w:val="22"/>
        </w:rPr>
        <w:t xml:space="preserve">e </w:t>
      </w:r>
      <w:r>
        <w:rPr>
          <w:rFonts w:asciiTheme="minorHAnsi" w:hAnsiTheme="minorHAnsi" w:cstheme="minorHAnsi"/>
          <w:iCs/>
          <w:sz w:val="22"/>
          <w:szCs w:val="22"/>
        </w:rPr>
        <w:t>oraz mają świadomość przewagi konkurencyjnej, jak</w:t>
      </w:r>
      <w:r w:rsidR="00C43F99">
        <w:rPr>
          <w:rFonts w:asciiTheme="minorHAnsi" w:hAnsiTheme="minorHAnsi" w:cstheme="minorHAnsi"/>
          <w:iCs/>
          <w:sz w:val="22"/>
          <w:szCs w:val="22"/>
        </w:rPr>
        <w:t xml:space="preserve">ą </w:t>
      </w:r>
      <w:r>
        <w:rPr>
          <w:rFonts w:asciiTheme="minorHAnsi" w:hAnsiTheme="minorHAnsi" w:cstheme="minorHAnsi"/>
          <w:iCs/>
          <w:sz w:val="22"/>
          <w:szCs w:val="22"/>
        </w:rPr>
        <w:t xml:space="preserve">one dają. Jak wynika z badania Siemens Financial Services, poziom automatyzacji procesów produkcji </w:t>
      </w:r>
      <w:r w:rsidR="00981D19">
        <w:rPr>
          <w:rFonts w:asciiTheme="minorHAnsi" w:hAnsiTheme="minorHAnsi" w:cstheme="minorHAnsi"/>
          <w:iCs/>
          <w:sz w:val="22"/>
          <w:szCs w:val="22"/>
        </w:rPr>
        <w:t xml:space="preserve">w stosunku do ubiegłego roku </w:t>
      </w:r>
      <w:r>
        <w:rPr>
          <w:rFonts w:asciiTheme="minorHAnsi" w:hAnsiTheme="minorHAnsi" w:cstheme="minorHAnsi"/>
          <w:iCs/>
          <w:sz w:val="22"/>
          <w:szCs w:val="22"/>
        </w:rPr>
        <w:t xml:space="preserve">zwiększyło 37 proc. ankietowanych firm, </w:t>
      </w:r>
      <w:r w:rsidR="00981D19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="005F1600">
        <w:rPr>
          <w:rFonts w:asciiTheme="minorHAnsi" w:hAnsiTheme="minorHAnsi" w:cstheme="minorHAnsi"/>
          <w:iCs/>
          <w:sz w:val="22"/>
          <w:szCs w:val="22"/>
        </w:rPr>
        <w:t>53</w:t>
      </w:r>
      <w:r>
        <w:rPr>
          <w:rFonts w:asciiTheme="minorHAnsi" w:hAnsiTheme="minorHAnsi" w:cstheme="minorHAnsi"/>
          <w:iCs/>
          <w:sz w:val="22"/>
          <w:szCs w:val="22"/>
        </w:rPr>
        <w:t xml:space="preserve"> proc.</w:t>
      </w:r>
      <w:r w:rsidR="00981D19">
        <w:rPr>
          <w:rFonts w:asciiTheme="minorHAnsi" w:hAnsiTheme="minorHAnsi" w:cstheme="minorHAnsi"/>
          <w:iCs/>
          <w:sz w:val="22"/>
          <w:szCs w:val="22"/>
        </w:rPr>
        <w:t xml:space="preserve"> utrzymało na takim samym poziomie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10A3677F" w14:textId="3483BAF1" w:rsidR="003D66BB" w:rsidRDefault="00B44D49" w:rsidP="003D66B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F1600" w:rsidRPr="00C47261">
        <w:rPr>
          <w:rFonts w:asciiTheme="minorHAnsi" w:hAnsiTheme="minorHAnsi" w:cstheme="minorHAnsi"/>
          <w:i/>
          <w:sz w:val="22"/>
          <w:szCs w:val="22"/>
        </w:rPr>
        <w:t xml:space="preserve">Przedsiębiorcy z branży </w:t>
      </w:r>
      <w:r w:rsidR="00A02EF5" w:rsidRPr="00965EA2">
        <w:rPr>
          <w:rFonts w:asciiTheme="minorHAnsi" w:hAnsiTheme="minorHAnsi" w:cstheme="minorHAnsi"/>
          <w:i/>
          <w:sz w:val="22"/>
          <w:szCs w:val="22"/>
        </w:rPr>
        <w:t xml:space="preserve">obróbki metali 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>chętnie inwestowa</w:t>
      </w:r>
      <w:r w:rsidR="003D66BB" w:rsidRPr="00965EA2">
        <w:rPr>
          <w:rFonts w:asciiTheme="minorHAnsi" w:hAnsiTheme="minorHAnsi" w:cstheme="minorHAnsi"/>
          <w:i/>
          <w:sz w:val="22"/>
          <w:szCs w:val="22"/>
        </w:rPr>
        <w:t>li</w:t>
      </w:r>
      <w:r w:rsidR="00B1574B" w:rsidRPr="00965E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 xml:space="preserve">w </w:t>
      </w:r>
      <w:r w:rsidR="00DD0DB1" w:rsidRPr="00965EA2">
        <w:rPr>
          <w:rFonts w:asciiTheme="minorHAnsi" w:hAnsiTheme="minorHAnsi" w:cstheme="minorHAnsi"/>
          <w:i/>
          <w:sz w:val="22"/>
          <w:szCs w:val="22"/>
        </w:rPr>
        <w:t xml:space="preserve">rozwój 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>sw</w:t>
      </w:r>
      <w:r w:rsidR="00DD0DB1" w:rsidRPr="00965EA2">
        <w:rPr>
          <w:rFonts w:asciiTheme="minorHAnsi" w:hAnsiTheme="minorHAnsi" w:cstheme="minorHAnsi"/>
          <w:i/>
          <w:sz w:val="22"/>
          <w:szCs w:val="22"/>
        </w:rPr>
        <w:t>o</w:t>
      </w:r>
      <w:r w:rsidR="006E3E75" w:rsidRPr="00965EA2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>park</w:t>
      </w:r>
      <w:r w:rsidR="006E3E75" w:rsidRPr="00965EA2">
        <w:rPr>
          <w:rFonts w:asciiTheme="minorHAnsi" w:hAnsiTheme="minorHAnsi" w:cstheme="minorHAnsi"/>
          <w:i/>
          <w:sz w:val="22"/>
          <w:szCs w:val="22"/>
        </w:rPr>
        <w:t xml:space="preserve">ów 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 xml:space="preserve">maszyn </w:t>
      </w:r>
      <w:r w:rsidR="003D66BB" w:rsidRPr="00965EA2">
        <w:rPr>
          <w:rFonts w:asciiTheme="minorHAnsi" w:hAnsiTheme="minorHAnsi" w:cstheme="minorHAnsi"/>
          <w:i/>
          <w:sz w:val="22"/>
          <w:szCs w:val="22"/>
        </w:rPr>
        <w:t>i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02EF5" w:rsidRPr="00965EA2">
        <w:rPr>
          <w:rFonts w:asciiTheme="minorHAnsi" w:hAnsiTheme="minorHAnsi" w:cstheme="minorHAnsi"/>
          <w:i/>
          <w:sz w:val="22"/>
          <w:szCs w:val="22"/>
        </w:rPr>
        <w:t>u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 xml:space="preserve">rządzeń. </w:t>
      </w:r>
      <w:r w:rsidR="005F1600" w:rsidRPr="00385588">
        <w:rPr>
          <w:rFonts w:asciiTheme="minorHAnsi" w:hAnsiTheme="minorHAnsi" w:cstheme="minorHAnsi"/>
          <w:i/>
          <w:sz w:val="22"/>
          <w:szCs w:val="22"/>
        </w:rPr>
        <w:t>Nakłady</w:t>
      </w:r>
      <w:r w:rsidR="00A52209" w:rsidRPr="00965E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54621" w:rsidRPr="00965EA2"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 xml:space="preserve">odnowienie </w:t>
      </w:r>
      <w:r w:rsidR="00385ED0" w:rsidRPr="00965EA2">
        <w:rPr>
          <w:rFonts w:asciiTheme="minorHAnsi" w:hAnsiTheme="minorHAnsi" w:cstheme="minorHAnsi"/>
          <w:i/>
          <w:sz w:val="22"/>
          <w:szCs w:val="22"/>
        </w:rPr>
        <w:t xml:space="preserve">sprzętu 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>zwiększyło aż 40 proc. f</w:t>
      </w:r>
      <w:r w:rsidR="00D41D3E">
        <w:rPr>
          <w:rFonts w:asciiTheme="minorHAnsi" w:hAnsiTheme="minorHAnsi" w:cstheme="minorHAnsi"/>
          <w:i/>
          <w:sz w:val="22"/>
          <w:szCs w:val="22"/>
        </w:rPr>
        <w:t>irm</w:t>
      </w:r>
      <w:r w:rsidR="005F1600" w:rsidRPr="00965EA2">
        <w:rPr>
          <w:rFonts w:asciiTheme="minorHAnsi" w:hAnsiTheme="minorHAnsi" w:cstheme="minorHAnsi"/>
          <w:i/>
          <w:sz w:val="22"/>
          <w:szCs w:val="22"/>
        </w:rPr>
        <w:t>.</w:t>
      </w:r>
      <w:r w:rsidR="00261930" w:rsidRPr="00965E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6405">
        <w:rPr>
          <w:rFonts w:asciiTheme="minorHAnsi" w:hAnsiTheme="minorHAnsi" w:cstheme="minorHAnsi"/>
          <w:i/>
          <w:sz w:val="22"/>
          <w:szCs w:val="22"/>
        </w:rPr>
        <w:t xml:space="preserve">Maszyny są ważne dla </w:t>
      </w:r>
      <w:r w:rsidR="00F05BB6">
        <w:rPr>
          <w:rFonts w:asciiTheme="minorHAnsi" w:hAnsiTheme="minorHAnsi" w:cstheme="minorHAnsi"/>
          <w:i/>
          <w:sz w:val="22"/>
          <w:szCs w:val="22"/>
        </w:rPr>
        <w:t>producentów z tego sektora</w:t>
      </w:r>
      <w:r w:rsidR="00D41D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6405">
        <w:rPr>
          <w:rFonts w:asciiTheme="minorHAnsi" w:hAnsiTheme="minorHAnsi" w:cstheme="minorHAnsi"/>
          <w:i/>
          <w:sz w:val="22"/>
          <w:szCs w:val="22"/>
        </w:rPr>
        <w:t>co potwierdza także</w:t>
      </w:r>
      <w:r w:rsidR="00D1524E">
        <w:rPr>
          <w:rFonts w:asciiTheme="minorHAnsi" w:hAnsiTheme="minorHAnsi" w:cstheme="minorHAnsi"/>
          <w:i/>
          <w:sz w:val="22"/>
          <w:szCs w:val="22"/>
        </w:rPr>
        <w:t xml:space="preserve"> fakt</w:t>
      </w:r>
      <w:r w:rsidR="00556405">
        <w:rPr>
          <w:rFonts w:asciiTheme="minorHAnsi" w:hAnsiTheme="minorHAnsi" w:cstheme="minorHAnsi"/>
          <w:i/>
          <w:sz w:val="22"/>
          <w:szCs w:val="22"/>
        </w:rPr>
        <w:t>,</w:t>
      </w:r>
      <w:r w:rsidR="00D152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6405">
        <w:rPr>
          <w:rFonts w:asciiTheme="minorHAnsi" w:hAnsiTheme="minorHAnsi" w:cstheme="minorHAnsi"/>
          <w:i/>
          <w:sz w:val="22"/>
          <w:szCs w:val="22"/>
        </w:rPr>
        <w:t xml:space="preserve">że </w:t>
      </w:r>
      <w:r w:rsidR="00D41D3E">
        <w:rPr>
          <w:rFonts w:asciiTheme="minorHAnsi" w:hAnsiTheme="minorHAnsi" w:cstheme="minorHAnsi"/>
          <w:i/>
          <w:sz w:val="22"/>
          <w:szCs w:val="22"/>
        </w:rPr>
        <w:t xml:space="preserve">aż co drugi przedsiębiorca wymienił nowoczesny park maszyn i urządzeń, jako jeden z najważniejszych czynników pozwalających osiągnąć przewagę konkurencyjną. Częściej badani wymieniali tylko wysoką jakość produktów końcowych, którą z kolei bardzo trudno osiągnąć bez </w:t>
      </w:r>
      <w:r w:rsidR="00ED69B2">
        <w:rPr>
          <w:rFonts w:asciiTheme="minorHAnsi" w:hAnsiTheme="minorHAnsi" w:cstheme="minorHAnsi"/>
          <w:i/>
          <w:sz w:val="22"/>
          <w:szCs w:val="22"/>
        </w:rPr>
        <w:t>posiadania</w:t>
      </w:r>
      <w:r w:rsidR="00D41D3E">
        <w:rPr>
          <w:rFonts w:asciiTheme="minorHAnsi" w:hAnsiTheme="minorHAnsi" w:cstheme="minorHAnsi"/>
          <w:i/>
          <w:sz w:val="22"/>
          <w:szCs w:val="22"/>
        </w:rPr>
        <w:t xml:space="preserve"> nowoczesnego sprzętu </w:t>
      </w:r>
      <w:r w:rsidR="00196FEA">
        <w:rPr>
          <w:rFonts w:asciiTheme="minorHAnsi" w:hAnsiTheme="minorHAnsi" w:cstheme="minorHAnsi"/>
          <w:sz w:val="22"/>
          <w:szCs w:val="22"/>
        </w:rPr>
        <w:t>–</w:t>
      </w:r>
      <w:r w:rsidR="00D41D3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41D3E">
        <w:rPr>
          <w:rFonts w:asciiTheme="minorHAnsi" w:hAnsiTheme="minorHAnsi" w:cstheme="minorHAnsi"/>
          <w:sz w:val="22"/>
          <w:szCs w:val="22"/>
        </w:rPr>
        <w:t>mówi</w:t>
      </w:r>
      <w:r w:rsidR="00D41D3E" w:rsidRPr="005F5BDE">
        <w:rPr>
          <w:rFonts w:asciiTheme="minorHAnsi" w:hAnsiTheme="minorHAnsi" w:cstheme="minorHAnsi"/>
          <w:sz w:val="22"/>
          <w:szCs w:val="22"/>
        </w:rPr>
        <w:t xml:space="preserve"> </w:t>
      </w:r>
      <w:r w:rsidR="00D41D3E">
        <w:rPr>
          <w:rFonts w:asciiTheme="minorHAnsi" w:hAnsiTheme="minorHAnsi" w:cstheme="minorHAnsi"/>
          <w:b/>
          <w:sz w:val="22"/>
          <w:szCs w:val="22"/>
        </w:rPr>
        <w:t>Tomasz Kukulski</w:t>
      </w:r>
      <w:r w:rsidR="00D41D3E" w:rsidRPr="005F5BDE">
        <w:rPr>
          <w:rFonts w:asciiTheme="minorHAnsi" w:hAnsiTheme="minorHAnsi" w:cstheme="minorHAnsi"/>
          <w:sz w:val="22"/>
          <w:szCs w:val="22"/>
        </w:rPr>
        <w:t>,</w:t>
      </w:r>
      <w:r w:rsidR="00D41D3E">
        <w:rPr>
          <w:rFonts w:asciiTheme="minorHAnsi" w:hAnsiTheme="minorHAnsi" w:cstheme="minorHAnsi"/>
          <w:sz w:val="22"/>
          <w:szCs w:val="22"/>
        </w:rPr>
        <w:t xml:space="preserve"> </w:t>
      </w:r>
      <w:r w:rsidR="00D41D3E" w:rsidRPr="00990790">
        <w:rPr>
          <w:rFonts w:asciiTheme="minorHAnsi" w:hAnsiTheme="minorHAnsi" w:cstheme="minorHAnsi"/>
          <w:sz w:val="22"/>
          <w:szCs w:val="22"/>
        </w:rPr>
        <w:t>Prezes Zarządu Siem</w:t>
      </w:r>
      <w:r w:rsidR="00D41D3E">
        <w:rPr>
          <w:rFonts w:asciiTheme="minorHAnsi" w:hAnsiTheme="minorHAnsi" w:cstheme="minorHAnsi"/>
          <w:sz w:val="22"/>
          <w:szCs w:val="22"/>
        </w:rPr>
        <w:t xml:space="preserve">ens Financial Services w Polsce. </w:t>
      </w:r>
      <w:r w:rsidR="00ED69B2">
        <w:rPr>
          <w:rFonts w:asciiTheme="minorHAnsi" w:hAnsiTheme="minorHAnsi" w:cstheme="minorHAnsi"/>
          <w:sz w:val="22"/>
          <w:szCs w:val="22"/>
        </w:rPr>
        <w:t>–</w:t>
      </w:r>
      <w:r w:rsidR="00D41D3E">
        <w:rPr>
          <w:rFonts w:asciiTheme="minorHAnsi" w:hAnsiTheme="minorHAnsi" w:cstheme="minorHAnsi"/>
          <w:sz w:val="22"/>
          <w:szCs w:val="22"/>
        </w:rPr>
        <w:t xml:space="preserve"> </w:t>
      </w:r>
      <w:r w:rsidR="00ED69B2">
        <w:rPr>
          <w:rFonts w:asciiTheme="minorHAnsi" w:hAnsiTheme="minorHAnsi" w:cstheme="minorHAnsi"/>
          <w:i/>
          <w:sz w:val="22"/>
          <w:szCs w:val="22"/>
        </w:rPr>
        <w:t xml:space="preserve">Dzięki poczynionym inwestycjom w maszyny i urządzenia </w:t>
      </w:r>
      <w:r w:rsidR="005621E5" w:rsidRPr="005B4FE6">
        <w:rPr>
          <w:rFonts w:asciiTheme="minorHAnsi" w:hAnsiTheme="minorHAnsi" w:cstheme="minorHAnsi"/>
          <w:i/>
          <w:sz w:val="22"/>
          <w:szCs w:val="22"/>
        </w:rPr>
        <w:t>prawie połowa firm z</w:t>
      </w:r>
      <w:r w:rsidR="000608D9" w:rsidRPr="005B4FE6">
        <w:rPr>
          <w:rFonts w:asciiTheme="minorHAnsi" w:hAnsiTheme="minorHAnsi" w:cstheme="minorHAnsi"/>
          <w:i/>
          <w:sz w:val="22"/>
          <w:szCs w:val="22"/>
        </w:rPr>
        <w:t xml:space="preserve"> branży uważa, że</w:t>
      </w:r>
      <w:r w:rsidR="008C59BC">
        <w:rPr>
          <w:rFonts w:asciiTheme="minorHAnsi" w:hAnsiTheme="minorHAnsi" w:cstheme="minorHAnsi"/>
          <w:i/>
          <w:sz w:val="22"/>
          <w:szCs w:val="22"/>
        </w:rPr>
        <w:t> </w:t>
      </w:r>
      <w:r w:rsidR="000608D9" w:rsidRPr="005B4FE6">
        <w:rPr>
          <w:rFonts w:asciiTheme="minorHAnsi" w:hAnsiTheme="minorHAnsi" w:cstheme="minorHAnsi"/>
          <w:i/>
          <w:sz w:val="22"/>
          <w:szCs w:val="22"/>
        </w:rPr>
        <w:t>jest</w:t>
      </w:r>
      <w:r w:rsidR="0061537E" w:rsidRPr="005B4FE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F400E">
        <w:rPr>
          <w:rFonts w:asciiTheme="minorHAnsi" w:hAnsiTheme="minorHAnsi" w:cstheme="minorHAnsi"/>
          <w:i/>
          <w:sz w:val="22"/>
          <w:szCs w:val="22"/>
        </w:rPr>
        <w:t>równie lub bardziej konkurencyjna od</w:t>
      </w:r>
      <w:r w:rsidR="002C0E6B">
        <w:rPr>
          <w:rFonts w:asciiTheme="minorHAnsi" w:hAnsiTheme="minorHAnsi" w:cstheme="minorHAnsi"/>
          <w:i/>
          <w:sz w:val="22"/>
          <w:szCs w:val="22"/>
        </w:rPr>
        <w:t> </w:t>
      </w:r>
      <w:r w:rsidR="00CF400E">
        <w:rPr>
          <w:rFonts w:asciiTheme="minorHAnsi" w:hAnsiTheme="minorHAnsi" w:cstheme="minorHAnsi"/>
          <w:i/>
          <w:sz w:val="22"/>
          <w:szCs w:val="22"/>
        </w:rPr>
        <w:t>zagranicznych podmiotów</w:t>
      </w:r>
      <w:r w:rsidR="00997C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97C85">
        <w:rPr>
          <w:rFonts w:asciiTheme="minorHAnsi" w:hAnsiTheme="minorHAnsi" w:cstheme="minorHAnsi"/>
          <w:sz w:val="22"/>
          <w:szCs w:val="22"/>
        </w:rPr>
        <w:t xml:space="preserve">– </w:t>
      </w:r>
      <w:r w:rsidR="00F05BB6">
        <w:rPr>
          <w:rFonts w:asciiTheme="minorHAnsi" w:hAnsiTheme="minorHAnsi" w:cstheme="minorHAnsi"/>
          <w:sz w:val="22"/>
          <w:szCs w:val="22"/>
        </w:rPr>
        <w:t>dodaje.</w:t>
      </w:r>
    </w:p>
    <w:p w14:paraId="3C8D8640" w14:textId="153DEF72" w:rsidR="005529DA" w:rsidRDefault="00052B54" w:rsidP="00164A0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67B6EDB9" wp14:editId="264C9ADF">
            <wp:extent cx="6115050" cy="182245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CFE030" w14:textId="073EAFDB" w:rsidR="005529DA" w:rsidRDefault="005529DA" w:rsidP="005529DA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>Źródło: Badanie 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 xml:space="preserve">u </w:t>
      </w:r>
      <w:proofErr w:type="spellStart"/>
      <w:r w:rsidRPr="00C87A3C">
        <w:rPr>
          <w:sz w:val="16"/>
          <w:szCs w:val="16"/>
        </w:rPr>
        <w:t>Keralla</w:t>
      </w:r>
      <w:proofErr w:type="spellEnd"/>
      <w:r w:rsidRPr="00C87A3C">
        <w:rPr>
          <w:sz w:val="16"/>
          <w:szCs w:val="16"/>
        </w:rPr>
        <w:t xml:space="preserve"> </w:t>
      </w:r>
      <w:proofErr w:type="spellStart"/>
      <w:r w:rsidRPr="00C87A3C">
        <w:rPr>
          <w:sz w:val="16"/>
          <w:szCs w:val="16"/>
        </w:rPr>
        <w:t>Research</w:t>
      </w:r>
      <w:proofErr w:type="spellEnd"/>
      <w:r w:rsidRPr="00D37965">
        <w:rPr>
          <w:sz w:val="16"/>
          <w:szCs w:val="16"/>
        </w:rPr>
        <w:t xml:space="preserve"> na zlecenie Siemens Financial Services,</w:t>
      </w:r>
      <w:r w:rsidR="00E66B64">
        <w:rPr>
          <w:sz w:val="16"/>
          <w:szCs w:val="16"/>
        </w:rPr>
        <w:t xml:space="preserve"> </w:t>
      </w:r>
      <w:r w:rsidRPr="00D37965">
        <w:rPr>
          <w:sz w:val="16"/>
          <w:szCs w:val="16"/>
        </w:rPr>
        <w:t>2020.</w:t>
      </w:r>
    </w:p>
    <w:p w14:paraId="4817B848" w14:textId="77777777" w:rsidR="000305DD" w:rsidRDefault="0087798A" w:rsidP="00A6717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Deklarowanemu </w:t>
      </w:r>
      <w:r w:rsidR="006D4F88">
        <w:rPr>
          <w:rFonts w:asciiTheme="minorHAnsi" w:hAnsiTheme="minorHAnsi" w:cstheme="minorHAnsi"/>
          <w:sz w:val="22"/>
          <w:szCs w:val="22"/>
        </w:rPr>
        <w:t>p</w:t>
      </w:r>
      <w:r w:rsidR="00F81131" w:rsidRPr="005B4FE6">
        <w:rPr>
          <w:rFonts w:asciiTheme="minorHAnsi" w:hAnsiTheme="minorHAnsi" w:cstheme="minorHAnsi"/>
          <w:sz w:val="22"/>
          <w:szCs w:val="22"/>
        </w:rPr>
        <w:t xml:space="preserve">oziomowi automatyzacji i nakładów na inwestycje w sprzęt </w:t>
      </w:r>
      <w:r w:rsidR="00F81131" w:rsidRPr="004B3A09">
        <w:rPr>
          <w:rFonts w:asciiTheme="minorHAnsi" w:hAnsiTheme="minorHAnsi" w:cstheme="minorHAnsi"/>
          <w:sz w:val="22"/>
          <w:szCs w:val="22"/>
        </w:rPr>
        <w:t>towarzyszyło</w:t>
      </w:r>
      <w:r w:rsidR="00F81131" w:rsidRPr="005B4FE6">
        <w:rPr>
          <w:rFonts w:asciiTheme="minorHAnsi" w:hAnsiTheme="minorHAnsi" w:cstheme="minorHAnsi"/>
          <w:sz w:val="22"/>
          <w:szCs w:val="22"/>
        </w:rPr>
        <w:t xml:space="preserve"> także zwiększenie częstotliwości odnowień parku maszyn </w:t>
      </w:r>
      <w:r w:rsidR="002E3AAA">
        <w:rPr>
          <w:rFonts w:asciiTheme="minorHAnsi" w:hAnsiTheme="minorHAnsi" w:cstheme="minorHAnsi"/>
          <w:sz w:val="22"/>
          <w:szCs w:val="22"/>
        </w:rPr>
        <w:t xml:space="preserve">- </w:t>
      </w:r>
      <w:r w:rsidR="00A6717A">
        <w:rPr>
          <w:rFonts w:asciiTheme="minorHAnsi" w:hAnsiTheme="minorHAnsi" w:cstheme="minorHAnsi"/>
          <w:sz w:val="22"/>
          <w:szCs w:val="22"/>
        </w:rPr>
        <w:t>według badania</w:t>
      </w:r>
      <w:r w:rsidR="00826068">
        <w:rPr>
          <w:rFonts w:asciiTheme="minorHAnsi" w:hAnsiTheme="minorHAnsi" w:cstheme="minorHAnsi"/>
          <w:sz w:val="22"/>
          <w:szCs w:val="22"/>
        </w:rPr>
        <w:t xml:space="preserve">, </w:t>
      </w:r>
      <w:r w:rsidR="00F81131" w:rsidRPr="005B4FE6">
        <w:rPr>
          <w:rFonts w:asciiTheme="minorHAnsi" w:hAnsiTheme="minorHAnsi" w:cstheme="minorHAnsi"/>
          <w:sz w:val="22"/>
          <w:szCs w:val="22"/>
        </w:rPr>
        <w:t>jedna trzecia firm odnawia urządzenia częściej niż</w:t>
      </w:r>
      <w:r w:rsidR="00CD546C">
        <w:rPr>
          <w:rFonts w:asciiTheme="minorHAnsi" w:hAnsiTheme="minorHAnsi" w:cstheme="minorHAnsi"/>
          <w:sz w:val="22"/>
          <w:szCs w:val="22"/>
        </w:rPr>
        <w:t> </w:t>
      </w:r>
      <w:r w:rsidR="00F81131" w:rsidRPr="005B4FE6">
        <w:rPr>
          <w:rFonts w:asciiTheme="minorHAnsi" w:hAnsiTheme="minorHAnsi" w:cstheme="minorHAnsi"/>
          <w:sz w:val="22"/>
          <w:szCs w:val="22"/>
        </w:rPr>
        <w:t>w</w:t>
      </w:r>
      <w:r w:rsidR="00CD546C">
        <w:rPr>
          <w:rFonts w:asciiTheme="minorHAnsi" w:hAnsiTheme="minorHAnsi" w:cstheme="minorHAnsi"/>
          <w:sz w:val="22"/>
          <w:szCs w:val="22"/>
        </w:rPr>
        <w:t> </w:t>
      </w:r>
      <w:r w:rsidR="00F81131" w:rsidRPr="005B4FE6">
        <w:rPr>
          <w:rFonts w:asciiTheme="minorHAnsi" w:hAnsiTheme="minorHAnsi" w:cstheme="minorHAnsi"/>
          <w:sz w:val="22"/>
          <w:szCs w:val="22"/>
        </w:rPr>
        <w:t>2019 roku</w:t>
      </w:r>
      <w:r w:rsidR="00F81131">
        <w:rPr>
          <w:rFonts w:asciiTheme="minorHAnsi" w:hAnsiTheme="minorHAnsi" w:cstheme="minorHAnsi"/>
          <w:sz w:val="22"/>
          <w:szCs w:val="22"/>
        </w:rPr>
        <w:t>.</w:t>
      </w:r>
    </w:p>
    <w:p w14:paraId="5AFF90F8" w14:textId="7636EF35" w:rsidR="000305DD" w:rsidRPr="005B4FE6" w:rsidRDefault="000305DD" w:rsidP="00A6717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Park maszyn </w:t>
      </w:r>
      <w:r w:rsidR="002955A3">
        <w:rPr>
          <w:rFonts w:asciiTheme="minorHAnsi" w:hAnsiTheme="minorHAnsi" w:cstheme="minorHAnsi"/>
          <w:b/>
          <w:bCs/>
          <w:sz w:val="22"/>
          <w:szCs w:val="22"/>
        </w:rPr>
        <w:t xml:space="preserve">w zgodzie </w:t>
      </w:r>
      <w:r>
        <w:rPr>
          <w:rFonts w:asciiTheme="minorHAnsi" w:hAnsiTheme="minorHAnsi" w:cstheme="minorHAnsi"/>
          <w:b/>
          <w:bCs/>
          <w:sz w:val="22"/>
          <w:szCs w:val="22"/>
        </w:rPr>
        <w:t>z innowacjami</w:t>
      </w:r>
    </w:p>
    <w:p w14:paraId="674E0DF5" w14:textId="3045861E" w:rsidR="00A6717A" w:rsidRDefault="007E47B6" w:rsidP="00A6717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0305DD" w:rsidRPr="00310901">
        <w:rPr>
          <w:rFonts w:asciiTheme="minorHAnsi" w:hAnsiTheme="minorHAnsi" w:cstheme="minorHAnsi"/>
          <w:i/>
          <w:iCs/>
          <w:sz w:val="22"/>
          <w:szCs w:val="22"/>
        </w:rPr>
        <w:t>Inwestycj</w:t>
      </w:r>
      <w:r w:rsidR="00B44637" w:rsidRPr="00310901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0305DD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w sprzęt powinn</w:t>
      </w:r>
      <w:r w:rsidR="00B44637" w:rsidRPr="00310901">
        <w:rPr>
          <w:rFonts w:asciiTheme="minorHAnsi" w:hAnsiTheme="minorHAnsi" w:cstheme="minorHAnsi"/>
          <w:i/>
          <w:iCs/>
          <w:sz w:val="22"/>
          <w:szCs w:val="22"/>
        </w:rPr>
        <w:t>y być poprzedzone</w:t>
      </w:r>
      <w:r w:rsidR="000305DD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dokładn</w:t>
      </w:r>
      <w:r w:rsidR="00B44637" w:rsidRPr="00310901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0305DD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weryfikacj</w:t>
      </w:r>
      <w:r w:rsidR="00B44637" w:rsidRPr="00310901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0305DD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oferty rynkowej, któr</w:t>
      </w:r>
      <w:r w:rsidR="00ED69B2" w:rsidRPr="00310901">
        <w:rPr>
          <w:rFonts w:asciiTheme="minorHAnsi" w:hAnsiTheme="minorHAnsi" w:cstheme="minorHAnsi"/>
          <w:i/>
          <w:iCs/>
          <w:sz w:val="22"/>
          <w:szCs w:val="22"/>
        </w:rPr>
        <w:t>a pozwoli wybrać najlepsze maszyny zgodne z</w:t>
      </w:r>
      <w:r w:rsidR="000305DD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C4E06">
        <w:rPr>
          <w:rFonts w:asciiTheme="minorHAnsi" w:hAnsiTheme="minorHAnsi" w:cstheme="minorHAnsi"/>
          <w:i/>
          <w:iCs/>
          <w:sz w:val="22"/>
          <w:szCs w:val="22"/>
        </w:rPr>
        <w:t>najnowszymi osiągnięciami</w:t>
      </w:r>
      <w:r w:rsidR="002664EF">
        <w:rPr>
          <w:rFonts w:asciiTheme="minorHAnsi" w:hAnsiTheme="minorHAnsi" w:cstheme="minorHAnsi"/>
          <w:i/>
          <w:iCs/>
          <w:sz w:val="22"/>
          <w:szCs w:val="22"/>
        </w:rPr>
        <w:t xml:space="preserve"> inżynierów</w:t>
      </w:r>
      <w:r w:rsidR="000305DD" w:rsidRPr="0031090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664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07B3A" w:rsidRPr="00310901">
        <w:rPr>
          <w:rFonts w:asciiTheme="minorHAnsi" w:hAnsiTheme="minorHAnsi" w:cstheme="minorHAnsi"/>
          <w:i/>
          <w:iCs/>
          <w:sz w:val="22"/>
          <w:szCs w:val="22"/>
        </w:rPr>
        <w:t>Aktualnie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>, w</w:t>
      </w:r>
      <w:r w:rsidR="00E010AC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87AC6" w:rsidRPr="00310901">
        <w:rPr>
          <w:rFonts w:asciiTheme="minorHAnsi" w:hAnsiTheme="minorHAnsi" w:cstheme="minorHAnsi"/>
          <w:i/>
          <w:iCs/>
          <w:sz w:val="22"/>
          <w:szCs w:val="22"/>
        </w:rPr>
        <w:t>sektor</w:t>
      </w:r>
      <w:r w:rsidR="00075E10" w:rsidRPr="00310901">
        <w:rPr>
          <w:rFonts w:asciiTheme="minorHAnsi" w:hAnsiTheme="minorHAnsi" w:cstheme="minorHAnsi"/>
          <w:i/>
          <w:iCs/>
          <w:sz w:val="22"/>
          <w:szCs w:val="22"/>
        </w:rPr>
        <w:t>ze</w:t>
      </w:r>
      <w:r w:rsidR="00B87AC6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010AC" w:rsidRPr="00310901">
        <w:rPr>
          <w:rFonts w:asciiTheme="minorHAnsi" w:hAnsiTheme="minorHAnsi" w:cstheme="minorHAnsi"/>
          <w:i/>
          <w:iCs/>
          <w:sz w:val="22"/>
          <w:szCs w:val="22"/>
        </w:rPr>
        <w:t>obróbki metali</w:t>
      </w:r>
      <w:r w:rsidR="00200137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coraz popularniejsze są </w:t>
      </w:r>
      <w:r w:rsidR="00C26790" w:rsidRPr="00310901">
        <w:rPr>
          <w:rFonts w:asciiTheme="minorHAnsi" w:hAnsiTheme="minorHAnsi" w:cstheme="minorHAnsi"/>
          <w:i/>
          <w:iCs/>
          <w:sz w:val="22"/>
          <w:szCs w:val="22"/>
        </w:rPr>
        <w:t>maszyny hybrydowe</w:t>
      </w:r>
      <w:r w:rsidR="00664780">
        <w:rPr>
          <w:rFonts w:asciiTheme="minorHAnsi" w:hAnsiTheme="minorHAnsi" w:cstheme="minorHAnsi"/>
          <w:i/>
          <w:iCs/>
          <w:sz w:val="22"/>
          <w:szCs w:val="22"/>
        </w:rPr>
        <w:t xml:space="preserve">. Łączą one 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>wiele funkcji np. wiertarki i frezarki czy cięcia plazmowego i wodnego. Drugą grupą są urządzenia</w:t>
      </w:r>
      <w:r w:rsidR="00C26790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kompaktowe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, które z kolei są </w:t>
      </w:r>
      <w:r w:rsidR="00C26790" w:rsidRPr="00310901">
        <w:rPr>
          <w:rFonts w:asciiTheme="minorHAnsi" w:hAnsiTheme="minorHAnsi" w:cstheme="minorHAnsi"/>
          <w:i/>
          <w:iCs/>
          <w:sz w:val="22"/>
          <w:szCs w:val="22"/>
        </w:rPr>
        <w:t>łatwe do rozbudowy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o nowe funkcje w przyszłości. Warto wspomnieć również o rozwoju układów sterowania</w:t>
      </w:r>
      <w:r w:rsidR="00407AFF">
        <w:rPr>
          <w:rFonts w:asciiTheme="minorHAnsi" w:hAnsiTheme="minorHAnsi" w:cstheme="minorHAnsi"/>
          <w:i/>
          <w:iCs/>
          <w:sz w:val="22"/>
          <w:szCs w:val="22"/>
        </w:rPr>
        <w:t xml:space="preserve"> ze 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>zwiększ</w:t>
      </w:r>
      <w:r w:rsidR="00407AFF">
        <w:rPr>
          <w:rFonts w:asciiTheme="minorHAnsi" w:hAnsiTheme="minorHAnsi" w:cstheme="minorHAnsi"/>
          <w:i/>
          <w:iCs/>
          <w:sz w:val="22"/>
          <w:szCs w:val="22"/>
        </w:rPr>
        <w:t xml:space="preserve">oną 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>moc</w:t>
      </w:r>
      <w:r w:rsidR="00407AFF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 xml:space="preserve"> obliczeniow</w:t>
      </w:r>
      <w:r w:rsidR="00407AFF">
        <w:rPr>
          <w:rFonts w:asciiTheme="minorHAnsi" w:hAnsiTheme="minorHAnsi" w:cstheme="minorHAnsi"/>
          <w:i/>
          <w:iCs/>
          <w:sz w:val="22"/>
          <w:szCs w:val="22"/>
        </w:rPr>
        <w:t>ą</w:t>
      </w:r>
      <w:r w:rsidR="00021493">
        <w:rPr>
          <w:rFonts w:asciiTheme="minorHAnsi" w:hAnsiTheme="minorHAnsi" w:cstheme="minorHAnsi"/>
          <w:i/>
          <w:iCs/>
          <w:sz w:val="22"/>
          <w:szCs w:val="22"/>
        </w:rPr>
        <w:t xml:space="preserve">. Pomagają one 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>poszerz</w:t>
      </w:r>
      <w:r w:rsidR="00021493">
        <w:rPr>
          <w:rFonts w:asciiTheme="minorHAnsi" w:hAnsiTheme="minorHAnsi" w:cstheme="minorHAnsi"/>
          <w:i/>
          <w:iCs/>
          <w:sz w:val="22"/>
          <w:szCs w:val="22"/>
        </w:rPr>
        <w:t xml:space="preserve">yć 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>zdolnoś</w:t>
      </w:r>
      <w:r w:rsidR="00021493">
        <w:rPr>
          <w:rFonts w:asciiTheme="minorHAnsi" w:hAnsiTheme="minorHAnsi" w:cstheme="minorHAnsi"/>
          <w:i/>
          <w:iCs/>
          <w:sz w:val="22"/>
          <w:szCs w:val="22"/>
        </w:rPr>
        <w:t xml:space="preserve">ć </w:t>
      </w:r>
      <w:r w:rsidR="005B4FE6" w:rsidRPr="00310901">
        <w:rPr>
          <w:rFonts w:asciiTheme="minorHAnsi" w:hAnsiTheme="minorHAnsi" w:cstheme="minorHAnsi"/>
          <w:i/>
          <w:iCs/>
          <w:sz w:val="22"/>
          <w:szCs w:val="22"/>
        </w:rPr>
        <w:t>kontroli różnych podsystemów</w:t>
      </w:r>
      <w:r>
        <w:rPr>
          <w:rFonts w:asciiTheme="minorHAnsi" w:hAnsiTheme="minorHAnsi" w:cstheme="minorHAnsi"/>
          <w:sz w:val="22"/>
          <w:szCs w:val="22"/>
        </w:rPr>
        <w:t xml:space="preserve"> – mówi </w:t>
      </w:r>
      <w:r w:rsidRPr="00A43166">
        <w:rPr>
          <w:rFonts w:asciiTheme="minorHAnsi" w:hAnsiTheme="minorHAnsi" w:cstheme="minorHAnsi"/>
          <w:b/>
          <w:sz w:val="22"/>
          <w:szCs w:val="22"/>
        </w:rPr>
        <w:t>Anita Grygorowicz</w:t>
      </w:r>
      <w:r w:rsidRPr="008F5289">
        <w:rPr>
          <w:rFonts w:asciiTheme="minorHAnsi" w:hAnsiTheme="minorHAnsi" w:cstheme="minorHAnsi"/>
          <w:sz w:val="22"/>
          <w:szCs w:val="22"/>
        </w:rPr>
        <w:t xml:space="preserve">, Szef Zespołu </w:t>
      </w:r>
      <w:proofErr w:type="spellStart"/>
      <w:r w:rsidRPr="008F5289">
        <w:rPr>
          <w:rFonts w:asciiTheme="minorHAnsi" w:hAnsiTheme="minorHAnsi" w:cstheme="minorHAnsi"/>
          <w:sz w:val="22"/>
          <w:szCs w:val="22"/>
        </w:rPr>
        <w:t>Vendorskiego</w:t>
      </w:r>
      <w:proofErr w:type="spellEnd"/>
      <w:r w:rsidRPr="008F5289">
        <w:rPr>
          <w:rFonts w:asciiTheme="minorHAnsi" w:hAnsiTheme="minorHAnsi" w:cstheme="minorHAnsi"/>
          <w:sz w:val="22"/>
          <w:szCs w:val="22"/>
        </w:rPr>
        <w:t xml:space="preserve"> w Siemens Financial Services</w:t>
      </w:r>
      <w:r w:rsidR="00770CEA">
        <w:rPr>
          <w:rFonts w:asciiTheme="minorHAnsi" w:hAnsiTheme="minorHAnsi" w:cstheme="minorHAnsi"/>
          <w:sz w:val="22"/>
          <w:szCs w:val="22"/>
        </w:rPr>
        <w:t>.</w:t>
      </w:r>
    </w:p>
    <w:p w14:paraId="03593B85" w14:textId="599B24C8" w:rsidR="00DB1FB2" w:rsidRDefault="00ED736E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Obecnie w</w:t>
      </w:r>
      <w:r w:rsidR="00766531">
        <w:rPr>
          <w:rFonts w:asciiTheme="minorHAnsi" w:hAnsiTheme="minorHAnsi" w:cstheme="minorHAnsi"/>
          <w:sz w:val="22"/>
          <w:szCs w:val="22"/>
        </w:rPr>
        <w:t xml:space="preserve"> wyposażeniu</w:t>
      </w:r>
      <w:r w:rsidR="000D0EF0">
        <w:rPr>
          <w:rFonts w:asciiTheme="minorHAnsi" w:hAnsiTheme="minorHAnsi" w:cstheme="minorHAnsi"/>
          <w:sz w:val="22"/>
          <w:szCs w:val="22"/>
        </w:rPr>
        <w:t xml:space="preserve"> parków maszynowych</w:t>
      </w:r>
      <w:r w:rsidR="001565C4">
        <w:rPr>
          <w:rFonts w:asciiTheme="minorHAnsi" w:hAnsiTheme="minorHAnsi" w:cstheme="minorHAnsi"/>
          <w:sz w:val="22"/>
          <w:szCs w:val="22"/>
        </w:rPr>
        <w:t xml:space="preserve"> </w:t>
      </w:r>
      <w:r w:rsidR="005F0DDC">
        <w:rPr>
          <w:rFonts w:asciiTheme="minorHAnsi" w:hAnsiTheme="minorHAnsi" w:cstheme="minorHAnsi"/>
          <w:sz w:val="22"/>
          <w:szCs w:val="22"/>
        </w:rPr>
        <w:t xml:space="preserve">polskich </w:t>
      </w:r>
      <w:r w:rsidR="00227616">
        <w:rPr>
          <w:rFonts w:asciiTheme="minorHAnsi" w:hAnsiTheme="minorHAnsi" w:cstheme="minorHAnsi"/>
          <w:sz w:val="22"/>
          <w:szCs w:val="22"/>
        </w:rPr>
        <w:t>MŚP</w:t>
      </w:r>
      <w:r w:rsidR="002955A3">
        <w:rPr>
          <w:rFonts w:asciiTheme="minorHAnsi" w:hAnsiTheme="minorHAnsi" w:cstheme="minorHAnsi"/>
          <w:sz w:val="22"/>
          <w:szCs w:val="22"/>
        </w:rPr>
        <w:t xml:space="preserve"> </w:t>
      </w:r>
      <w:r w:rsidR="004B7607">
        <w:rPr>
          <w:rFonts w:asciiTheme="minorHAnsi" w:hAnsiTheme="minorHAnsi" w:cstheme="minorHAnsi"/>
          <w:sz w:val="22"/>
          <w:szCs w:val="22"/>
        </w:rPr>
        <w:t>dominują</w:t>
      </w:r>
      <w:r w:rsidR="0026378C">
        <w:rPr>
          <w:rFonts w:asciiTheme="minorHAnsi" w:hAnsiTheme="minorHAnsi" w:cstheme="minorHAnsi"/>
          <w:sz w:val="22"/>
          <w:szCs w:val="22"/>
        </w:rPr>
        <w:t xml:space="preserve"> maszyny </w:t>
      </w:r>
      <w:r w:rsidR="002F1A18">
        <w:rPr>
          <w:rFonts w:asciiTheme="minorHAnsi" w:hAnsiTheme="minorHAnsi" w:cstheme="minorHAnsi"/>
          <w:sz w:val="22"/>
          <w:szCs w:val="22"/>
        </w:rPr>
        <w:t>do obróbki metal</w:t>
      </w:r>
      <w:r w:rsidR="00016FEC">
        <w:rPr>
          <w:rFonts w:asciiTheme="minorHAnsi" w:hAnsiTheme="minorHAnsi" w:cstheme="minorHAnsi"/>
          <w:sz w:val="22"/>
          <w:szCs w:val="22"/>
        </w:rPr>
        <w:t>u</w:t>
      </w:r>
      <w:r w:rsidR="000F18D6">
        <w:rPr>
          <w:rFonts w:asciiTheme="minorHAnsi" w:hAnsiTheme="minorHAnsi" w:cstheme="minorHAnsi"/>
          <w:sz w:val="22"/>
          <w:szCs w:val="22"/>
        </w:rPr>
        <w:t xml:space="preserve"> (</w:t>
      </w:r>
      <w:r w:rsidR="000D0EF0">
        <w:rPr>
          <w:rFonts w:asciiTheme="minorHAnsi" w:hAnsiTheme="minorHAnsi" w:cstheme="minorHAnsi"/>
          <w:sz w:val="22"/>
          <w:szCs w:val="22"/>
        </w:rPr>
        <w:t>74</w:t>
      </w:r>
      <w:r w:rsidR="009B28A6">
        <w:rPr>
          <w:rFonts w:asciiTheme="minorHAnsi" w:hAnsiTheme="minorHAnsi" w:cstheme="minorHAnsi"/>
          <w:sz w:val="22"/>
          <w:szCs w:val="22"/>
        </w:rPr>
        <w:t> </w:t>
      </w:r>
      <w:r w:rsidR="000D0EF0">
        <w:rPr>
          <w:rFonts w:asciiTheme="minorHAnsi" w:hAnsiTheme="minorHAnsi" w:cstheme="minorHAnsi"/>
          <w:sz w:val="22"/>
          <w:szCs w:val="22"/>
        </w:rPr>
        <w:t>proc.</w:t>
      </w:r>
      <w:r w:rsidR="00995B2B">
        <w:rPr>
          <w:rFonts w:asciiTheme="minorHAnsi" w:hAnsiTheme="minorHAnsi" w:cstheme="minorHAnsi"/>
          <w:sz w:val="22"/>
          <w:szCs w:val="22"/>
        </w:rPr>
        <w:t> </w:t>
      </w:r>
      <w:r w:rsidR="000D0EF0">
        <w:rPr>
          <w:rFonts w:asciiTheme="minorHAnsi" w:hAnsiTheme="minorHAnsi" w:cstheme="minorHAnsi"/>
          <w:sz w:val="22"/>
          <w:szCs w:val="22"/>
        </w:rPr>
        <w:t>badanych zakładów</w:t>
      </w:r>
      <w:r w:rsidR="00CE7031">
        <w:rPr>
          <w:rFonts w:asciiTheme="minorHAnsi" w:hAnsiTheme="minorHAnsi" w:cstheme="minorHAnsi"/>
          <w:sz w:val="22"/>
          <w:szCs w:val="22"/>
        </w:rPr>
        <w:t xml:space="preserve">) i </w:t>
      </w:r>
      <w:r w:rsidR="00730FFB">
        <w:rPr>
          <w:rFonts w:asciiTheme="minorHAnsi" w:hAnsiTheme="minorHAnsi" w:cstheme="minorHAnsi"/>
          <w:sz w:val="22"/>
          <w:szCs w:val="22"/>
        </w:rPr>
        <w:t>maszyny d</w:t>
      </w:r>
      <w:r w:rsidR="008561BA">
        <w:rPr>
          <w:rFonts w:asciiTheme="minorHAnsi" w:hAnsiTheme="minorHAnsi" w:cstheme="minorHAnsi"/>
          <w:sz w:val="22"/>
          <w:szCs w:val="22"/>
        </w:rPr>
        <w:t xml:space="preserve">o </w:t>
      </w:r>
      <w:r w:rsidR="002F1A18">
        <w:rPr>
          <w:rFonts w:asciiTheme="minorHAnsi" w:hAnsiTheme="minorHAnsi" w:cstheme="minorHAnsi"/>
          <w:sz w:val="22"/>
          <w:szCs w:val="22"/>
        </w:rPr>
        <w:t>obróbk</w:t>
      </w:r>
      <w:r w:rsidR="00321B46">
        <w:rPr>
          <w:rFonts w:asciiTheme="minorHAnsi" w:hAnsiTheme="minorHAnsi" w:cstheme="minorHAnsi"/>
          <w:sz w:val="22"/>
          <w:szCs w:val="22"/>
        </w:rPr>
        <w:t>i b</w:t>
      </w:r>
      <w:r w:rsidR="002F1A18">
        <w:rPr>
          <w:rFonts w:asciiTheme="minorHAnsi" w:hAnsiTheme="minorHAnsi" w:cstheme="minorHAnsi"/>
          <w:sz w:val="22"/>
          <w:szCs w:val="22"/>
        </w:rPr>
        <w:t>lachy</w:t>
      </w:r>
      <w:r w:rsidR="00B304C5">
        <w:rPr>
          <w:rFonts w:asciiTheme="minorHAnsi" w:hAnsiTheme="minorHAnsi" w:cstheme="minorHAnsi"/>
          <w:sz w:val="22"/>
          <w:szCs w:val="22"/>
        </w:rPr>
        <w:t xml:space="preserve"> (71 proc.).</w:t>
      </w:r>
      <w:r w:rsidR="00BA0A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7A4D94" w14:textId="77777777" w:rsidR="00EF52AD" w:rsidRDefault="00EF52AD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42463D" w14:textId="263B3559" w:rsidR="005529DA" w:rsidRDefault="00872D9A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Konkurencyjność</w:t>
      </w:r>
      <w:r w:rsidR="003D63C5">
        <w:rPr>
          <w:rFonts w:asciiTheme="minorHAnsi" w:hAnsiTheme="minorHAnsi" w:cstheme="minorHAnsi"/>
          <w:b/>
          <w:sz w:val="22"/>
          <w:szCs w:val="22"/>
        </w:rPr>
        <w:t xml:space="preserve"> może być jeszcze </w:t>
      </w:r>
      <w:r w:rsidR="0050760D">
        <w:rPr>
          <w:rFonts w:asciiTheme="minorHAnsi" w:hAnsiTheme="minorHAnsi" w:cstheme="minorHAnsi"/>
          <w:b/>
          <w:sz w:val="22"/>
          <w:szCs w:val="22"/>
        </w:rPr>
        <w:t>lepsza</w:t>
      </w:r>
    </w:p>
    <w:p w14:paraId="114F756C" w14:textId="7C8CE7F9" w:rsidR="00007F15" w:rsidRDefault="00AB4C1E" w:rsidP="00007F1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Dzięki</w:t>
      </w:r>
      <w:r w:rsidR="00FE07FA">
        <w:rPr>
          <w:rFonts w:asciiTheme="minorHAnsi" w:hAnsiTheme="minorHAnsi" w:cstheme="minorHAnsi"/>
          <w:bCs/>
          <w:iCs/>
          <w:sz w:val="22"/>
          <w:szCs w:val="22"/>
        </w:rPr>
        <w:t xml:space="preserve"> inwest</w:t>
      </w:r>
      <w:r>
        <w:rPr>
          <w:rFonts w:asciiTheme="minorHAnsi" w:hAnsiTheme="minorHAnsi" w:cstheme="minorHAnsi"/>
          <w:bCs/>
          <w:iCs/>
          <w:sz w:val="22"/>
          <w:szCs w:val="22"/>
        </w:rPr>
        <w:t>ycjom</w:t>
      </w:r>
      <w:r w:rsidR="00FE07FA">
        <w:rPr>
          <w:rFonts w:asciiTheme="minorHAnsi" w:hAnsiTheme="minorHAnsi" w:cstheme="minorHAnsi"/>
          <w:bCs/>
          <w:iCs/>
          <w:sz w:val="22"/>
          <w:szCs w:val="22"/>
        </w:rPr>
        <w:t xml:space="preserve"> w sprzęt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 xml:space="preserve"> 44 proc. firm</w:t>
      </w:r>
      <w:r w:rsidR="0028794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 xml:space="preserve">z branży </w:t>
      </w:r>
      <w:r w:rsidR="00C24FDC">
        <w:rPr>
          <w:rFonts w:asciiTheme="minorHAnsi" w:hAnsiTheme="minorHAnsi" w:cstheme="minorHAnsi"/>
          <w:bCs/>
          <w:iCs/>
          <w:sz w:val="22"/>
          <w:szCs w:val="22"/>
        </w:rPr>
        <w:t xml:space="preserve">obróbki metali 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>ocenia swoje przygotowanie do</w:t>
      </w:r>
      <w:r w:rsidR="00E2545D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>konkurowania z zagranicznym</w:t>
      </w:r>
      <w:r w:rsidR="00075E10">
        <w:rPr>
          <w:rFonts w:asciiTheme="minorHAnsi" w:hAnsiTheme="minorHAnsi" w:cstheme="minorHAnsi"/>
          <w:bCs/>
          <w:iCs/>
          <w:sz w:val="22"/>
          <w:szCs w:val="22"/>
        </w:rPr>
        <w:t>i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 xml:space="preserve"> podmiotami na podobnym poziomie </w:t>
      </w:r>
      <w:r w:rsidR="002B39BA">
        <w:rPr>
          <w:rFonts w:asciiTheme="minorHAnsi" w:hAnsiTheme="minorHAnsi" w:cstheme="minorHAnsi"/>
          <w:bCs/>
          <w:iCs/>
          <w:sz w:val="22"/>
          <w:szCs w:val="22"/>
        </w:rPr>
        <w:t>-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 xml:space="preserve"> co jest najlepszym wynikiem na</w:t>
      </w:r>
      <w:r w:rsidR="00C81093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>tle</w:t>
      </w:r>
      <w:r w:rsidR="00CD16E6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>ujętych w badaniu sektorów</w:t>
      </w:r>
      <w:r w:rsidR="00A360C9">
        <w:rPr>
          <w:rFonts w:asciiTheme="minorHAnsi" w:hAnsiTheme="minorHAnsi" w:cstheme="minorHAnsi"/>
          <w:bCs/>
          <w:iCs/>
          <w:sz w:val="22"/>
          <w:szCs w:val="22"/>
        </w:rPr>
        <w:t xml:space="preserve"> (spożywczym, poligraficznym i tworzyw sztucznych)</w:t>
      </w:r>
      <w:r w:rsidR="00EF28FA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9E1CEC">
        <w:rPr>
          <w:rFonts w:asciiTheme="minorHAnsi" w:hAnsiTheme="minorHAnsi" w:cstheme="minorHAnsi"/>
          <w:sz w:val="22"/>
          <w:szCs w:val="22"/>
        </w:rPr>
        <w:t xml:space="preserve"> </w:t>
      </w:r>
      <w:r w:rsidR="005D3E7C" w:rsidRPr="00D01334">
        <w:rPr>
          <w:rFonts w:asciiTheme="minorHAnsi" w:hAnsiTheme="minorHAnsi" w:cstheme="minorHAnsi"/>
          <w:sz w:val="22"/>
          <w:szCs w:val="22"/>
        </w:rPr>
        <w:t xml:space="preserve">4 proc. </w:t>
      </w:r>
      <w:r w:rsidR="00EF28FA">
        <w:rPr>
          <w:rFonts w:asciiTheme="minorHAnsi" w:hAnsiTheme="minorHAnsi" w:cstheme="minorHAnsi"/>
          <w:sz w:val="22"/>
          <w:szCs w:val="22"/>
        </w:rPr>
        <w:t>przedsiębiorstw uważa, że</w:t>
      </w:r>
      <w:r w:rsidR="002B39BA">
        <w:rPr>
          <w:rFonts w:asciiTheme="minorHAnsi" w:hAnsiTheme="minorHAnsi" w:cstheme="minorHAnsi"/>
          <w:sz w:val="22"/>
          <w:szCs w:val="22"/>
        </w:rPr>
        <w:t xml:space="preserve"> jakość </w:t>
      </w:r>
      <w:r w:rsidR="00EF28FA">
        <w:rPr>
          <w:rFonts w:asciiTheme="minorHAnsi" w:hAnsiTheme="minorHAnsi" w:cstheme="minorHAnsi"/>
          <w:sz w:val="22"/>
          <w:szCs w:val="22"/>
        </w:rPr>
        <w:t xml:space="preserve">ich </w:t>
      </w:r>
      <w:r w:rsidR="0095103A">
        <w:rPr>
          <w:rFonts w:asciiTheme="minorHAnsi" w:hAnsiTheme="minorHAnsi" w:cstheme="minorHAnsi"/>
          <w:sz w:val="22"/>
          <w:szCs w:val="22"/>
        </w:rPr>
        <w:t>park</w:t>
      </w:r>
      <w:r w:rsidR="002B39BA">
        <w:rPr>
          <w:rFonts w:asciiTheme="minorHAnsi" w:hAnsiTheme="minorHAnsi" w:cstheme="minorHAnsi"/>
          <w:sz w:val="22"/>
          <w:szCs w:val="22"/>
        </w:rPr>
        <w:t xml:space="preserve">u </w:t>
      </w:r>
      <w:r w:rsidR="0095103A">
        <w:rPr>
          <w:rFonts w:asciiTheme="minorHAnsi" w:hAnsiTheme="minorHAnsi" w:cstheme="minorHAnsi"/>
          <w:sz w:val="22"/>
          <w:szCs w:val="22"/>
        </w:rPr>
        <w:t>maszynow</w:t>
      </w:r>
      <w:r w:rsidR="002B39BA">
        <w:rPr>
          <w:rFonts w:asciiTheme="minorHAnsi" w:hAnsiTheme="minorHAnsi" w:cstheme="minorHAnsi"/>
          <w:sz w:val="22"/>
          <w:szCs w:val="22"/>
        </w:rPr>
        <w:t>ego</w:t>
      </w:r>
      <w:r w:rsidR="00EF28FA">
        <w:rPr>
          <w:rFonts w:asciiTheme="minorHAnsi" w:hAnsiTheme="minorHAnsi" w:cstheme="minorHAnsi"/>
          <w:sz w:val="22"/>
          <w:szCs w:val="22"/>
        </w:rPr>
        <w:t xml:space="preserve"> daj</w:t>
      </w:r>
      <w:r w:rsidR="00851578">
        <w:rPr>
          <w:rFonts w:asciiTheme="minorHAnsi" w:hAnsiTheme="minorHAnsi" w:cstheme="minorHAnsi"/>
          <w:sz w:val="22"/>
          <w:szCs w:val="22"/>
        </w:rPr>
        <w:t>e</w:t>
      </w:r>
      <w:r w:rsidR="00EF28FA">
        <w:rPr>
          <w:rFonts w:asciiTheme="minorHAnsi" w:hAnsiTheme="minorHAnsi" w:cstheme="minorHAnsi"/>
          <w:sz w:val="22"/>
          <w:szCs w:val="22"/>
        </w:rPr>
        <w:t xml:space="preserve"> </w:t>
      </w:r>
      <w:r w:rsidR="00BA4D7B">
        <w:rPr>
          <w:rFonts w:asciiTheme="minorHAnsi" w:hAnsiTheme="minorHAnsi" w:cstheme="minorHAnsi"/>
          <w:sz w:val="22"/>
          <w:szCs w:val="22"/>
        </w:rPr>
        <w:t xml:space="preserve">im </w:t>
      </w:r>
      <w:r w:rsidR="00EF28FA">
        <w:rPr>
          <w:rFonts w:asciiTheme="minorHAnsi" w:hAnsiTheme="minorHAnsi" w:cstheme="minorHAnsi"/>
          <w:sz w:val="22"/>
          <w:szCs w:val="22"/>
        </w:rPr>
        <w:t>lepszą pozycję</w:t>
      </w:r>
      <w:r w:rsidR="003D33C6">
        <w:rPr>
          <w:rFonts w:asciiTheme="minorHAnsi" w:hAnsiTheme="minorHAnsi" w:cstheme="minorHAnsi"/>
          <w:sz w:val="22"/>
          <w:szCs w:val="22"/>
        </w:rPr>
        <w:t xml:space="preserve"> rynkową. </w:t>
      </w:r>
      <w:r w:rsidR="00556198" w:rsidRPr="00D01334">
        <w:rPr>
          <w:rFonts w:asciiTheme="minorHAnsi" w:hAnsiTheme="minorHAnsi" w:cstheme="minorHAnsi"/>
          <w:sz w:val="22"/>
          <w:szCs w:val="22"/>
        </w:rPr>
        <w:t>O</w:t>
      </w:r>
      <w:r w:rsidR="005D3E7C" w:rsidRPr="00D01334">
        <w:rPr>
          <w:rFonts w:asciiTheme="minorHAnsi" w:hAnsiTheme="minorHAnsi" w:cstheme="minorHAnsi"/>
          <w:sz w:val="22"/>
          <w:szCs w:val="22"/>
        </w:rPr>
        <w:t xml:space="preserve">dsetek firm, które </w:t>
      </w:r>
      <w:r w:rsidR="001B2CB3">
        <w:rPr>
          <w:rFonts w:asciiTheme="minorHAnsi" w:hAnsiTheme="minorHAnsi" w:cstheme="minorHAnsi"/>
          <w:sz w:val="22"/>
          <w:szCs w:val="22"/>
        </w:rPr>
        <w:t xml:space="preserve">wskazały na </w:t>
      </w:r>
      <w:r w:rsidR="00007F15">
        <w:rPr>
          <w:rFonts w:asciiTheme="minorHAnsi" w:hAnsiTheme="minorHAnsi" w:cstheme="minorHAnsi"/>
          <w:sz w:val="22"/>
          <w:szCs w:val="22"/>
        </w:rPr>
        <w:t>mniejsz</w:t>
      </w:r>
      <w:r w:rsidR="001B2CB3">
        <w:rPr>
          <w:rFonts w:asciiTheme="minorHAnsi" w:hAnsiTheme="minorHAnsi" w:cstheme="minorHAnsi"/>
          <w:sz w:val="22"/>
          <w:szCs w:val="22"/>
        </w:rPr>
        <w:t>ą</w:t>
      </w:r>
      <w:r w:rsidR="00007F15">
        <w:rPr>
          <w:rFonts w:asciiTheme="minorHAnsi" w:hAnsiTheme="minorHAnsi" w:cstheme="minorHAnsi"/>
          <w:sz w:val="22"/>
          <w:szCs w:val="22"/>
        </w:rPr>
        <w:t xml:space="preserve"> konkurencyjnoś</w:t>
      </w:r>
      <w:r w:rsidR="001B2CB3">
        <w:rPr>
          <w:rFonts w:asciiTheme="minorHAnsi" w:hAnsiTheme="minorHAnsi" w:cstheme="minorHAnsi"/>
          <w:sz w:val="22"/>
          <w:szCs w:val="22"/>
        </w:rPr>
        <w:t>ć</w:t>
      </w:r>
      <w:r w:rsidR="00007F15">
        <w:rPr>
          <w:rFonts w:asciiTheme="minorHAnsi" w:hAnsiTheme="minorHAnsi" w:cstheme="minorHAnsi"/>
          <w:sz w:val="22"/>
          <w:szCs w:val="22"/>
        </w:rPr>
        <w:t xml:space="preserve"> wyniósł </w:t>
      </w:r>
      <w:r w:rsidR="005D3E7C" w:rsidRPr="00D01334">
        <w:rPr>
          <w:rFonts w:asciiTheme="minorHAnsi" w:hAnsiTheme="minorHAnsi" w:cstheme="minorHAnsi"/>
          <w:sz w:val="22"/>
          <w:szCs w:val="22"/>
        </w:rPr>
        <w:t>23</w:t>
      </w:r>
      <w:r w:rsidR="00007F15">
        <w:rPr>
          <w:rFonts w:asciiTheme="minorHAnsi" w:hAnsiTheme="minorHAnsi" w:cstheme="minorHAnsi"/>
          <w:sz w:val="22"/>
          <w:szCs w:val="22"/>
        </w:rPr>
        <w:t xml:space="preserve"> </w:t>
      </w:r>
      <w:r w:rsidR="005D3E7C" w:rsidRPr="00D01334">
        <w:rPr>
          <w:rFonts w:asciiTheme="minorHAnsi" w:hAnsiTheme="minorHAnsi" w:cstheme="minorHAnsi"/>
          <w:sz w:val="22"/>
          <w:szCs w:val="22"/>
        </w:rPr>
        <w:t>proc.</w:t>
      </w:r>
    </w:p>
    <w:p w14:paraId="41212659" w14:textId="401A436C" w:rsidR="00C85B57" w:rsidRPr="00101378" w:rsidRDefault="00B44D4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007F15">
        <w:rPr>
          <w:rFonts w:asciiTheme="minorHAnsi" w:hAnsiTheme="minorHAnsi" w:cstheme="minorHAnsi"/>
          <w:sz w:val="22"/>
          <w:szCs w:val="22"/>
        </w:rPr>
        <w:t xml:space="preserve"> </w:t>
      </w:r>
      <w:r w:rsidR="00007F15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Jak wynika z naszego badania, blisko co druga firma z branży </w:t>
      </w:r>
      <w:r w:rsidR="00D47BA5">
        <w:rPr>
          <w:rFonts w:asciiTheme="minorHAnsi" w:hAnsiTheme="minorHAnsi" w:cstheme="minorHAnsi"/>
          <w:i/>
          <w:iCs/>
          <w:sz w:val="22"/>
          <w:szCs w:val="22"/>
        </w:rPr>
        <w:t xml:space="preserve">obróbki metali 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>czuje się dobrze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 xml:space="preserve"> przygotowana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>pod względem sprzętowym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 do konkurowania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 xml:space="preserve"> z zagranicznymi podmiotami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360C9">
        <w:rPr>
          <w:rFonts w:asciiTheme="minorHAnsi" w:hAnsiTheme="minorHAnsi" w:cstheme="minorHAnsi"/>
          <w:i/>
          <w:iCs/>
          <w:sz w:val="22"/>
          <w:szCs w:val="22"/>
        </w:rPr>
        <w:t>To wyraźny dowód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360C9">
        <w:rPr>
          <w:rFonts w:asciiTheme="minorHAnsi" w:hAnsiTheme="minorHAnsi" w:cstheme="minorHAnsi"/>
          <w:i/>
          <w:iCs/>
          <w:sz w:val="22"/>
          <w:szCs w:val="22"/>
        </w:rPr>
        <w:t xml:space="preserve">na 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>to</w:t>
      </w:r>
      <w:r w:rsidR="00C1675C" w:rsidRPr="00A360C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27821" w:rsidRPr="00A360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1675C" w:rsidRPr="00A360C9">
        <w:rPr>
          <w:rFonts w:asciiTheme="minorHAnsi" w:hAnsiTheme="minorHAnsi" w:cstheme="minorHAnsi"/>
          <w:i/>
          <w:iCs/>
          <w:sz w:val="22"/>
          <w:szCs w:val="22"/>
        </w:rPr>
        <w:t>że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 xml:space="preserve"> spora część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 sektor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C1675C" w:rsidRPr="00A360C9">
        <w:rPr>
          <w:rFonts w:asciiTheme="minorHAnsi" w:hAnsiTheme="minorHAnsi" w:cstheme="minorHAnsi"/>
          <w:i/>
          <w:iCs/>
          <w:sz w:val="22"/>
          <w:szCs w:val="22"/>
        </w:rPr>
        <w:t xml:space="preserve"> ma solidne fundamenty, aby </w:t>
      </w:r>
      <w:r w:rsidR="0026131B" w:rsidRPr="00A360C9">
        <w:rPr>
          <w:rFonts w:asciiTheme="minorHAnsi" w:hAnsiTheme="minorHAnsi" w:cstheme="minorHAnsi"/>
          <w:i/>
          <w:iCs/>
          <w:sz w:val="22"/>
          <w:szCs w:val="22"/>
        </w:rPr>
        <w:t>wzmacnia</w:t>
      </w:r>
      <w:r w:rsidR="00A27B63" w:rsidRPr="00A360C9">
        <w:rPr>
          <w:rFonts w:asciiTheme="minorHAnsi" w:hAnsiTheme="minorHAnsi" w:cstheme="minorHAnsi"/>
          <w:i/>
          <w:iCs/>
          <w:sz w:val="22"/>
          <w:szCs w:val="22"/>
        </w:rPr>
        <w:t>ć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 xml:space="preserve"> swoją</w:t>
      </w:r>
      <w:r w:rsidR="00A27B63" w:rsidRPr="00A360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6131B" w:rsidRPr="00A360C9">
        <w:rPr>
          <w:rFonts w:asciiTheme="minorHAnsi" w:hAnsiTheme="minorHAnsi" w:cstheme="minorHAnsi"/>
          <w:i/>
          <w:iCs/>
          <w:sz w:val="22"/>
          <w:szCs w:val="22"/>
        </w:rPr>
        <w:t>pozycj</w:t>
      </w:r>
      <w:r w:rsidR="00A27B63" w:rsidRPr="00A360C9">
        <w:rPr>
          <w:rFonts w:asciiTheme="minorHAnsi" w:hAnsiTheme="minorHAnsi" w:cstheme="minorHAnsi"/>
          <w:i/>
          <w:iCs/>
          <w:sz w:val="22"/>
          <w:szCs w:val="22"/>
        </w:rPr>
        <w:t xml:space="preserve">ę </w:t>
      </w:r>
      <w:r w:rsidR="00C3202C" w:rsidRPr="00A360C9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="004E5EDA" w:rsidRPr="00A360C9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C3202C" w:rsidRPr="00A360C9">
        <w:rPr>
          <w:rFonts w:asciiTheme="minorHAnsi" w:hAnsiTheme="minorHAnsi" w:cstheme="minorHAnsi"/>
          <w:i/>
          <w:iCs/>
          <w:sz w:val="22"/>
          <w:szCs w:val="22"/>
        </w:rPr>
        <w:t>międzynarodowych rynkach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F75111">
        <w:rPr>
          <w:rFonts w:asciiTheme="minorHAnsi" w:hAnsiTheme="minorHAnsi" w:cstheme="minorHAnsi"/>
          <w:i/>
          <w:iCs/>
          <w:sz w:val="22"/>
          <w:szCs w:val="22"/>
        </w:rPr>
        <w:t>Jest to</w:t>
      </w:r>
      <w:r w:rsidR="00196F1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16FEC">
        <w:rPr>
          <w:rFonts w:asciiTheme="minorHAnsi" w:hAnsiTheme="minorHAnsi" w:cstheme="minorHAnsi"/>
          <w:i/>
          <w:iCs/>
          <w:sz w:val="22"/>
          <w:szCs w:val="22"/>
        </w:rPr>
        <w:t>także</w:t>
      </w:r>
      <w:r w:rsidR="00F751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>jasny</w:t>
      </w:r>
      <w:r w:rsidR="00A360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>sygnał dla pozostałych</w:t>
      </w:r>
      <w:r w:rsidR="001D0B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>przedsiębiorstw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>, które odkładają inwestycje „na później”</w:t>
      </w:r>
      <w:r w:rsidR="0002274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22748">
        <w:rPr>
          <w:rFonts w:asciiTheme="minorHAnsi" w:hAnsiTheme="minorHAnsi" w:cstheme="minorHAnsi"/>
          <w:i/>
          <w:iCs/>
          <w:sz w:val="22"/>
          <w:szCs w:val="22"/>
        </w:rPr>
        <w:t>J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 xml:space="preserve">eśli </w:t>
      </w:r>
      <w:r w:rsidR="00047C1E">
        <w:rPr>
          <w:rFonts w:asciiTheme="minorHAnsi" w:hAnsiTheme="minorHAnsi" w:cstheme="minorHAnsi"/>
          <w:i/>
          <w:iCs/>
          <w:sz w:val="22"/>
          <w:szCs w:val="22"/>
        </w:rPr>
        <w:t>nie</w:t>
      </w:r>
      <w:r w:rsidR="00937A97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047C1E">
        <w:rPr>
          <w:rFonts w:asciiTheme="minorHAnsi" w:hAnsiTheme="minorHAnsi" w:cstheme="minorHAnsi"/>
          <w:i/>
          <w:iCs/>
          <w:sz w:val="22"/>
          <w:szCs w:val="22"/>
        </w:rPr>
        <w:t xml:space="preserve">zrobią 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>tego</w:t>
      </w:r>
      <w:r w:rsidR="00047C1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>w najbliższym</w:t>
      </w:r>
      <w:r w:rsidR="00022748">
        <w:rPr>
          <w:rFonts w:asciiTheme="minorHAnsi" w:hAnsiTheme="minorHAnsi" w:cstheme="minorHAnsi"/>
          <w:i/>
          <w:iCs/>
          <w:sz w:val="22"/>
          <w:szCs w:val="22"/>
        </w:rPr>
        <w:t xml:space="preserve"> czasie</w:t>
      </w:r>
      <w:r w:rsidR="00A360C9" w:rsidRPr="00D01334">
        <w:rPr>
          <w:rFonts w:asciiTheme="minorHAnsi" w:hAnsiTheme="minorHAnsi" w:cstheme="minorHAnsi"/>
          <w:i/>
          <w:iCs/>
          <w:sz w:val="22"/>
          <w:szCs w:val="22"/>
        </w:rPr>
        <w:t>, mogą zostać w tyle</w:t>
      </w:r>
      <w:r w:rsidR="00AD6800">
        <w:rPr>
          <w:rFonts w:asciiTheme="minorHAnsi" w:hAnsiTheme="minorHAnsi" w:cstheme="minorHAnsi"/>
          <w:i/>
          <w:iCs/>
          <w:sz w:val="22"/>
          <w:szCs w:val="22"/>
        </w:rPr>
        <w:t>, a powstała różnica może być trudna do nadrobienia</w:t>
      </w:r>
      <w:r w:rsidR="00022748">
        <w:rPr>
          <w:rFonts w:asciiTheme="minorHAnsi" w:hAnsiTheme="minorHAnsi" w:cstheme="minorHAnsi"/>
          <w:i/>
          <w:iCs/>
          <w:sz w:val="22"/>
          <w:szCs w:val="22"/>
        </w:rPr>
        <w:t xml:space="preserve"> w przyszłości</w:t>
      </w:r>
      <w:r w:rsidR="00C3202C" w:rsidRPr="00D01334">
        <w:rPr>
          <w:rFonts w:asciiTheme="minorHAnsi" w:hAnsiTheme="minorHAnsi" w:cstheme="minorHAnsi"/>
          <w:sz w:val="22"/>
          <w:szCs w:val="22"/>
        </w:rPr>
        <w:t xml:space="preserve"> </w:t>
      </w:r>
      <w:r w:rsidR="00B43977">
        <w:rPr>
          <w:rFonts w:asciiTheme="minorHAnsi" w:hAnsiTheme="minorHAnsi" w:cstheme="minorHAnsi"/>
          <w:sz w:val="22"/>
          <w:szCs w:val="22"/>
        </w:rPr>
        <w:t xml:space="preserve">– </w:t>
      </w:r>
      <w:r w:rsidR="00383E97">
        <w:rPr>
          <w:rFonts w:asciiTheme="minorHAnsi" w:hAnsiTheme="minorHAnsi" w:cstheme="minorHAnsi"/>
          <w:sz w:val="22"/>
          <w:szCs w:val="22"/>
        </w:rPr>
        <w:t xml:space="preserve">dodaje </w:t>
      </w:r>
      <w:r w:rsidR="00B43977" w:rsidRPr="00FE3C61">
        <w:rPr>
          <w:rFonts w:asciiTheme="minorHAnsi" w:hAnsiTheme="minorHAnsi" w:cstheme="minorHAnsi"/>
          <w:b/>
          <w:bCs/>
          <w:sz w:val="22"/>
          <w:szCs w:val="22"/>
        </w:rPr>
        <w:t>Tomasz Kukulski</w:t>
      </w:r>
      <w:r w:rsidR="00B439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3977">
        <w:rPr>
          <w:rFonts w:asciiTheme="minorHAnsi" w:hAnsiTheme="minorHAnsi" w:cstheme="minorHAnsi"/>
          <w:bCs/>
          <w:sz w:val="22"/>
          <w:szCs w:val="22"/>
        </w:rPr>
        <w:t>z Siemens Financial Services.</w:t>
      </w:r>
    </w:p>
    <w:p w14:paraId="08D29121" w14:textId="77777777" w:rsidR="005529DA" w:rsidRDefault="005529DA" w:rsidP="005529DA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B65F5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 wp14:anchorId="263CEED8" wp14:editId="00BA27D8">
            <wp:extent cx="6115050" cy="20669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165155" w14:textId="16F2D0B2" w:rsidR="005529DA" w:rsidRPr="00D37965" w:rsidRDefault="005529DA" w:rsidP="005529DA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  <w:r w:rsidRPr="00C87A3C">
        <w:rPr>
          <w:sz w:val="16"/>
          <w:szCs w:val="16"/>
        </w:rPr>
        <w:t>Źródło: Badanie Instyt</w:t>
      </w:r>
      <w:r w:rsidRPr="00D37965">
        <w:rPr>
          <w:sz w:val="16"/>
          <w:szCs w:val="16"/>
        </w:rPr>
        <w:t>u</w:t>
      </w:r>
      <w:r w:rsidRPr="009B0EAD">
        <w:rPr>
          <w:sz w:val="16"/>
          <w:szCs w:val="16"/>
        </w:rPr>
        <w:t>t</w:t>
      </w:r>
      <w:r w:rsidRPr="00C87A3C">
        <w:rPr>
          <w:sz w:val="16"/>
          <w:szCs w:val="16"/>
        </w:rPr>
        <w:t xml:space="preserve">u </w:t>
      </w:r>
      <w:proofErr w:type="spellStart"/>
      <w:r w:rsidRPr="00C87A3C">
        <w:rPr>
          <w:sz w:val="16"/>
          <w:szCs w:val="16"/>
        </w:rPr>
        <w:t>Keralla</w:t>
      </w:r>
      <w:proofErr w:type="spellEnd"/>
      <w:r w:rsidRPr="00C87A3C">
        <w:rPr>
          <w:sz w:val="16"/>
          <w:szCs w:val="16"/>
        </w:rPr>
        <w:t xml:space="preserve"> </w:t>
      </w:r>
      <w:proofErr w:type="spellStart"/>
      <w:r w:rsidRPr="00C87A3C">
        <w:rPr>
          <w:sz w:val="16"/>
          <w:szCs w:val="16"/>
        </w:rPr>
        <w:t>Research</w:t>
      </w:r>
      <w:proofErr w:type="spellEnd"/>
      <w:r w:rsidRPr="00D37965">
        <w:rPr>
          <w:sz w:val="16"/>
          <w:szCs w:val="16"/>
        </w:rPr>
        <w:t xml:space="preserve"> na zlecenie Siemens Financial Services,</w:t>
      </w:r>
      <w:r w:rsidR="00E66B64">
        <w:rPr>
          <w:sz w:val="16"/>
          <w:szCs w:val="16"/>
        </w:rPr>
        <w:t xml:space="preserve"> </w:t>
      </w:r>
      <w:r w:rsidRPr="00D37965">
        <w:rPr>
          <w:sz w:val="16"/>
          <w:szCs w:val="16"/>
        </w:rPr>
        <w:t>2020.</w:t>
      </w:r>
    </w:p>
    <w:p w14:paraId="2F72B40B" w14:textId="77777777" w:rsidR="00614A1D" w:rsidRDefault="00614A1D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1D19C8E" w14:textId="5239929A" w:rsidR="00013BF9" w:rsidRDefault="00517A37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Nowe maszyny przede wszystkim z</w:t>
      </w:r>
      <w:r w:rsidR="004B0A50"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środk</w:t>
      </w:r>
      <w:r w:rsidR="004B0A50">
        <w:rPr>
          <w:rFonts w:asciiTheme="minorHAnsi" w:hAnsiTheme="minorHAnsi" w:cstheme="minorHAnsi"/>
          <w:b/>
          <w:bCs/>
          <w:iCs/>
          <w:sz w:val="22"/>
          <w:szCs w:val="22"/>
        </w:rPr>
        <w:t>ów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własn</w:t>
      </w:r>
      <w:r w:rsidR="004B0A50">
        <w:rPr>
          <w:rFonts w:asciiTheme="minorHAnsi" w:hAnsiTheme="minorHAnsi" w:cstheme="minorHAnsi"/>
          <w:b/>
          <w:bCs/>
          <w:iCs/>
          <w:sz w:val="22"/>
          <w:szCs w:val="22"/>
        </w:rPr>
        <w:t>ych</w:t>
      </w:r>
      <w:r w:rsidR="000227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leasin</w:t>
      </w:r>
      <w:r w:rsidR="00555AC0">
        <w:rPr>
          <w:rFonts w:asciiTheme="minorHAnsi" w:hAnsiTheme="minorHAnsi" w:cstheme="minorHAnsi"/>
          <w:b/>
          <w:bCs/>
          <w:iCs/>
          <w:sz w:val="22"/>
          <w:szCs w:val="22"/>
        </w:rPr>
        <w:t>g</w:t>
      </w:r>
      <w:r w:rsidR="004B0A50">
        <w:rPr>
          <w:rFonts w:asciiTheme="minorHAnsi" w:hAnsiTheme="minorHAnsi" w:cstheme="minorHAnsi"/>
          <w:b/>
          <w:bCs/>
          <w:iCs/>
          <w:sz w:val="22"/>
          <w:szCs w:val="22"/>
        </w:rPr>
        <w:t>u</w:t>
      </w:r>
    </w:p>
    <w:p w14:paraId="44E79E08" w14:textId="03BC273F" w:rsidR="00A41B60" w:rsidRDefault="00804E0A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8105E0">
        <w:rPr>
          <w:rFonts w:asciiTheme="minorHAnsi" w:hAnsiTheme="minorHAnsi" w:cstheme="minorHAnsi"/>
          <w:iCs/>
          <w:sz w:val="22"/>
          <w:szCs w:val="22"/>
        </w:rPr>
        <w:t>finansowani</w:t>
      </w:r>
      <w:r w:rsidR="00075E10">
        <w:rPr>
          <w:rFonts w:asciiTheme="minorHAnsi" w:hAnsiTheme="minorHAnsi" w:cstheme="minorHAnsi"/>
          <w:iCs/>
          <w:sz w:val="22"/>
          <w:szCs w:val="22"/>
        </w:rPr>
        <w:t>a</w:t>
      </w:r>
      <w:r w:rsidR="008105E0">
        <w:rPr>
          <w:rFonts w:asciiTheme="minorHAnsi" w:hAnsiTheme="minorHAnsi" w:cstheme="minorHAnsi"/>
          <w:iCs/>
          <w:sz w:val="22"/>
          <w:szCs w:val="22"/>
        </w:rPr>
        <w:t xml:space="preserve"> inwestycji </w:t>
      </w:r>
      <w:r w:rsidR="00022748">
        <w:rPr>
          <w:rFonts w:asciiTheme="minorHAnsi" w:hAnsiTheme="minorHAnsi" w:cstheme="minorHAnsi"/>
          <w:iCs/>
          <w:sz w:val="22"/>
          <w:szCs w:val="22"/>
        </w:rPr>
        <w:t>w maszyny i urządzenia</w:t>
      </w:r>
      <w:r w:rsidR="0016134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6C223D">
        <w:rPr>
          <w:rFonts w:asciiTheme="minorHAnsi" w:hAnsiTheme="minorHAnsi" w:cstheme="minorHAnsi"/>
          <w:iCs/>
          <w:sz w:val="22"/>
          <w:szCs w:val="22"/>
        </w:rPr>
        <w:t xml:space="preserve">najwięcej </w:t>
      </w:r>
      <w:r w:rsidR="00955170">
        <w:rPr>
          <w:rFonts w:asciiTheme="minorHAnsi" w:hAnsiTheme="minorHAnsi" w:cstheme="minorHAnsi"/>
          <w:iCs/>
          <w:sz w:val="22"/>
          <w:szCs w:val="22"/>
        </w:rPr>
        <w:t xml:space="preserve">przedsiębiorstw </w:t>
      </w:r>
      <w:r w:rsidR="00022748">
        <w:rPr>
          <w:rFonts w:asciiTheme="minorHAnsi" w:hAnsiTheme="minorHAnsi" w:cstheme="minorHAnsi"/>
          <w:iCs/>
          <w:sz w:val="22"/>
          <w:szCs w:val="22"/>
        </w:rPr>
        <w:t>z branży</w:t>
      </w:r>
      <w:r w:rsidR="00D36F56">
        <w:rPr>
          <w:rFonts w:asciiTheme="minorHAnsi" w:hAnsiTheme="minorHAnsi" w:cstheme="minorHAnsi"/>
          <w:iCs/>
          <w:sz w:val="22"/>
          <w:szCs w:val="22"/>
        </w:rPr>
        <w:t xml:space="preserve"> obróbki </w:t>
      </w:r>
      <w:r w:rsidR="005B5862">
        <w:rPr>
          <w:rFonts w:asciiTheme="minorHAnsi" w:hAnsiTheme="minorHAnsi" w:cstheme="minorHAnsi"/>
          <w:iCs/>
          <w:sz w:val="22"/>
          <w:szCs w:val="22"/>
        </w:rPr>
        <w:t>metali</w:t>
      </w:r>
      <w:r w:rsidR="00955170" w:rsidRPr="006367DE">
        <w:rPr>
          <w:rFonts w:asciiTheme="minorHAnsi" w:hAnsiTheme="minorHAnsi" w:cstheme="minorHAnsi"/>
          <w:iCs/>
          <w:sz w:val="22"/>
          <w:szCs w:val="22"/>
        </w:rPr>
        <w:t xml:space="preserve"> wykorzystuje</w:t>
      </w:r>
      <w:r w:rsidR="009551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C223D">
        <w:rPr>
          <w:rFonts w:asciiTheme="minorHAnsi" w:hAnsiTheme="minorHAnsi" w:cstheme="minorHAnsi"/>
          <w:iCs/>
          <w:sz w:val="22"/>
          <w:szCs w:val="22"/>
        </w:rPr>
        <w:t>środki własne</w:t>
      </w:r>
      <w:r w:rsidR="00851578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6C223D">
        <w:rPr>
          <w:rFonts w:asciiTheme="minorHAnsi" w:hAnsiTheme="minorHAnsi" w:cstheme="minorHAnsi"/>
          <w:iCs/>
          <w:sz w:val="22"/>
          <w:szCs w:val="22"/>
        </w:rPr>
        <w:t>79,3 proc.</w:t>
      </w:r>
      <w:r w:rsidR="00851578">
        <w:rPr>
          <w:rFonts w:asciiTheme="minorHAnsi" w:hAnsiTheme="minorHAnsi" w:cstheme="minorHAnsi"/>
          <w:iCs/>
          <w:sz w:val="22"/>
          <w:szCs w:val="22"/>
        </w:rPr>
        <w:t>).</w:t>
      </w:r>
      <w:r w:rsidR="00555AC0">
        <w:rPr>
          <w:rFonts w:asciiTheme="minorHAnsi" w:hAnsiTheme="minorHAnsi" w:cstheme="minorHAnsi"/>
          <w:iCs/>
          <w:sz w:val="22"/>
          <w:szCs w:val="22"/>
        </w:rPr>
        <w:t xml:space="preserve"> Z kolei drugą najpopularniejszą formą jest</w:t>
      </w:r>
      <w:r w:rsidR="006A7B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55AC0">
        <w:rPr>
          <w:rFonts w:asciiTheme="minorHAnsi" w:hAnsiTheme="minorHAnsi" w:cstheme="minorHAnsi"/>
          <w:iCs/>
          <w:sz w:val="22"/>
          <w:szCs w:val="22"/>
        </w:rPr>
        <w:t>leasing, z</w:t>
      </w:r>
      <w:r w:rsidR="00937A97">
        <w:rPr>
          <w:rFonts w:asciiTheme="minorHAnsi" w:hAnsiTheme="minorHAnsi" w:cstheme="minorHAnsi"/>
          <w:iCs/>
          <w:sz w:val="22"/>
          <w:szCs w:val="22"/>
        </w:rPr>
        <w:t> </w:t>
      </w:r>
      <w:r w:rsidR="00555AC0">
        <w:rPr>
          <w:rFonts w:asciiTheme="minorHAnsi" w:hAnsiTheme="minorHAnsi" w:cstheme="minorHAnsi"/>
          <w:iCs/>
          <w:sz w:val="22"/>
          <w:szCs w:val="22"/>
        </w:rPr>
        <w:t xml:space="preserve">którego korzysta blisko </w:t>
      </w:r>
      <w:r w:rsidR="003B651F">
        <w:rPr>
          <w:rFonts w:asciiTheme="minorHAnsi" w:hAnsiTheme="minorHAnsi" w:cstheme="minorHAnsi"/>
          <w:iCs/>
          <w:sz w:val="22"/>
          <w:szCs w:val="22"/>
        </w:rPr>
        <w:t>46</w:t>
      </w:r>
      <w:r w:rsidR="00555A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651F">
        <w:rPr>
          <w:rFonts w:asciiTheme="minorHAnsi" w:hAnsiTheme="minorHAnsi" w:cstheme="minorHAnsi"/>
          <w:iCs/>
          <w:sz w:val="22"/>
          <w:szCs w:val="22"/>
        </w:rPr>
        <w:t xml:space="preserve">proc. </w:t>
      </w:r>
      <w:r w:rsidR="00555AC0">
        <w:rPr>
          <w:rFonts w:asciiTheme="minorHAnsi" w:hAnsiTheme="minorHAnsi" w:cstheme="minorHAnsi"/>
          <w:iCs/>
          <w:sz w:val="22"/>
          <w:szCs w:val="22"/>
        </w:rPr>
        <w:t>przedsiębiorc</w:t>
      </w:r>
      <w:r w:rsidR="003B651F">
        <w:rPr>
          <w:rFonts w:asciiTheme="minorHAnsi" w:hAnsiTheme="minorHAnsi" w:cstheme="minorHAnsi"/>
          <w:iCs/>
          <w:sz w:val="22"/>
          <w:szCs w:val="22"/>
        </w:rPr>
        <w:t>ów</w:t>
      </w:r>
      <w:r w:rsidR="006C1EF6">
        <w:rPr>
          <w:rFonts w:asciiTheme="minorHAnsi" w:hAnsiTheme="minorHAnsi" w:cstheme="minorHAnsi"/>
          <w:iCs/>
          <w:sz w:val="22"/>
          <w:szCs w:val="22"/>
        </w:rPr>
        <w:t xml:space="preserve"> - </w:t>
      </w:r>
      <w:r w:rsidR="004B7607">
        <w:rPr>
          <w:rFonts w:asciiTheme="minorHAnsi" w:hAnsiTheme="minorHAnsi" w:cstheme="minorHAnsi"/>
          <w:iCs/>
          <w:sz w:val="22"/>
          <w:szCs w:val="22"/>
        </w:rPr>
        <w:t>wynika z badania Siemens Financial Ser</w:t>
      </w:r>
      <w:r w:rsidR="004E6CBB">
        <w:rPr>
          <w:rFonts w:asciiTheme="minorHAnsi" w:hAnsiTheme="minorHAnsi" w:cstheme="minorHAnsi"/>
          <w:iCs/>
          <w:sz w:val="22"/>
          <w:szCs w:val="22"/>
        </w:rPr>
        <w:t>vices</w:t>
      </w:r>
      <w:r w:rsidR="005804E5">
        <w:rPr>
          <w:rFonts w:asciiTheme="minorHAnsi" w:hAnsiTheme="minorHAnsi" w:cstheme="minorHAnsi"/>
          <w:iCs/>
          <w:sz w:val="22"/>
          <w:szCs w:val="22"/>
        </w:rPr>
        <w:t>.</w:t>
      </w:r>
      <w:r w:rsidR="004E6CB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804E5">
        <w:rPr>
          <w:rFonts w:asciiTheme="minorHAnsi" w:hAnsiTheme="minorHAnsi" w:cstheme="minorHAnsi"/>
          <w:iCs/>
          <w:sz w:val="22"/>
          <w:szCs w:val="22"/>
        </w:rPr>
        <w:t>Jedna piąta</w:t>
      </w:r>
      <w:r w:rsidR="009065F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804E5">
        <w:rPr>
          <w:rFonts w:asciiTheme="minorHAnsi" w:hAnsiTheme="minorHAnsi" w:cstheme="minorHAnsi"/>
          <w:iCs/>
          <w:sz w:val="22"/>
          <w:szCs w:val="22"/>
        </w:rPr>
        <w:t xml:space="preserve">firm finansuje </w:t>
      </w:r>
      <w:r w:rsidR="00EB1C4F">
        <w:rPr>
          <w:rFonts w:asciiTheme="minorHAnsi" w:hAnsiTheme="minorHAnsi" w:cstheme="minorHAnsi"/>
          <w:iCs/>
          <w:sz w:val="22"/>
          <w:szCs w:val="22"/>
        </w:rPr>
        <w:t xml:space="preserve">maszyny </w:t>
      </w:r>
      <w:r w:rsidR="00555AC0">
        <w:rPr>
          <w:rFonts w:asciiTheme="minorHAnsi" w:hAnsiTheme="minorHAnsi" w:cstheme="minorHAnsi"/>
          <w:iCs/>
          <w:sz w:val="22"/>
          <w:szCs w:val="22"/>
        </w:rPr>
        <w:t>z wykorzystaniem</w:t>
      </w:r>
      <w:r w:rsidR="00EB1C4F">
        <w:rPr>
          <w:rFonts w:asciiTheme="minorHAnsi" w:hAnsiTheme="minorHAnsi" w:cstheme="minorHAnsi"/>
          <w:iCs/>
          <w:sz w:val="22"/>
          <w:szCs w:val="22"/>
        </w:rPr>
        <w:t xml:space="preserve"> dotacj</w:t>
      </w:r>
      <w:r w:rsidR="00555AC0">
        <w:rPr>
          <w:rFonts w:asciiTheme="minorHAnsi" w:hAnsiTheme="minorHAnsi" w:cstheme="minorHAnsi"/>
          <w:iCs/>
          <w:sz w:val="22"/>
          <w:szCs w:val="22"/>
        </w:rPr>
        <w:t>i</w:t>
      </w:r>
      <w:r w:rsidR="00A41B60">
        <w:rPr>
          <w:rFonts w:asciiTheme="minorHAnsi" w:hAnsiTheme="minorHAnsi" w:cstheme="minorHAnsi"/>
          <w:iCs/>
          <w:sz w:val="22"/>
          <w:szCs w:val="22"/>
        </w:rPr>
        <w:t>,</w:t>
      </w:r>
      <w:r w:rsidR="00EB1C4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804E5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="00A41B60">
        <w:rPr>
          <w:rFonts w:asciiTheme="minorHAnsi" w:hAnsiTheme="minorHAnsi" w:cstheme="minorHAnsi"/>
          <w:iCs/>
          <w:sz w:val="22"/>
          <w:szCs w:val="22"/>
        </w:rPr>
        <w:t xml:space="preserve">16,3 </w:t>
      </w:r>
      <w:r w:rsidR="005804E5">
        <w:rPr>
          <w:rFonts w:asciiTheme="minorHAnsi" w:hAnsiTheme="minorHAnsi" w:cstheme="minorHAnsi"/>
          <w:iCs/>
          <w:sz w:val="22"/>
          <w:szCs w:val="22"/>
        </w:rPr>
        <w:t>proc.</w:t>
      </w:r>
      <w:r w:rsidR="009D4A4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41B60">
        <w:rPr>
          <w:rFonts w:asciiTheme="minorHAnsi" w:hAnsiTheme="minorHAnsi" w:cstheme="minorHAnsi"/>
          <w:iCs/>
          <w:sz w:val="22"/>
          <w:szCs w:val="22"/>
        </w:rPr>
        <w:t>kredyt</w:t>
      </w:r>
      <w:r w:rsidR="00555AC0">
        <w:rPr>
          <w:rFonts w:asciiTheme="minorHAnsi" w:hAnsiTheme="minorHAnsi" w:cstheme="minorHAnsi"/>
          <w:iCs/>
          <w:sz w:val="22"/>
          <w:szCs w:val="22"/>
        </w:rPr>
        <w:t>ów</w:t>
      </w:r>
      <w:r w:rsidR="009D4A4D">
        <w:rPr>
          <w:rFonts w:asciiTheme="minorHAnsi" w:hAnsiTheme="minorHAnsi" w:cstheme="minorHAnsi"/>
          <w:iCs/>
          <w:sz w:val="22"/>
          <w:szCs w:val="22"/>
        </w:rPr>
        <w:t>.</w:t>
      </w:r>
    </w:p>
    <w:p w14:paraId="6C794C9A" w14:textId="77777777" w:rsidR="0011770C" w:rsidRPr="00C87A3C" w:rsidRDefault="0011770C" w:rsidP="0011770C">
      <w:pPr>
        <w:pStyle w:val="Legenda"/>
        <w:jc w:val="both"/>
        <w:rPr>
          <w:sz w:val="16"/>
          <w:szCs w:val="16"/>
        </w:rPr>
      </w:pPr>
      <w:r w:rsidRPr="00D85287">
        <w:rPr>
          <w:rFonts w:ascii="Century Gothic" w:hAnsi="Century Gothic"/>
          <w:noProof/>
          <w:lang w:eastAsia="pl-PL"/>
        </w:rPr>
        <w:drawing>
          <wp:inline distT="0" distB="0" distL="0" distR="0" wp14:anchorId="1EED97A4" wp14:editId="168C2AD4">
            <wp:extent cx="6057900" cy="2057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B0EAD">
        <w:rPr>
          <w:sz w:val="16"/>
          <w:szCs w:val="16"/>
        </w:rPr>
        <w:t>*Wykorzystywane do sfinansowania całości</w:t>
      </w:r>
      <w:r w:rsidRPr="00C87A3C">
        <w:rPr>
          <w:sz w:val="16"/>
          <w:szCs w:val="16"/>
        </w:rPr>
        <w:t xml:space="preserve"> parku </w:t>
      </w:r>
      <w:proofErr w:type="spellStart"/>
      <w:r w:rsidRPr="00C87A3C">
        <w:rPr>
          <w:sz w:val="16"/>
          <w:szCs w:val="16"/>
        </w:rPr>
        <w:t>MiU</w:t>
      </w:r>
      <w:proofErr w:type="spellEnd"/>
      <w:r w:rsidRPr="009B0EAD">
        <w:rPr>
          <w:sz w:val="16"/>
          <w:szCs w:val="16"/>
        </w:rPr>
        <w:t xml:space="preserve"> lub jego części</w:t>
      </w:r>
    </w:p>
    <w:p w14:paraId="047C981A" w14:textId="5A0572BF" w:rsidR="0011770C" w:rsidRPr="00634632" w:rsidRDefault="0011770C" w:rsidP="0011770C">
      <w:pPr>
        <w:rPr>
          <w:i/>
          <w:iCs/>
          <w:color w:val="44546A" w:themeColor="text2"/>
          <w:sz w:val="16"/>
          <w:szCs w:val="16"/>
        </w:rPr>
      </w:pPr>
      <w:r w:rsidRPr="00C87A3C">
        <w:rPr>
          <w:i/>
          <w:iCs/>
          <w:color w:val="44546A" w:themeColor="text2"/>
          <w:sz w:val="16"/>
          <w:szCs w:val="16"/>
        </w:rPr>
        <w:t xml:space="preserve">Źródło: Badanie </w:t>
      </w:r>
      <w:r w:rsidRPr="00D37965">
        <w:rPr>
          <w:i/>
          <w:iCs/>
          <w:color w:val="44546A" w:themeColor="text2"/>
          <w:sz w:val="16"/>
          <w:szCs w:val="16"/>
        </w:rPr>
        <w:t xml:space="preserve">Instytutu </w:t>
      </w:r>
      <w:proofErr w:type="spellStart"/>
      <w:r w:rsidRPr="00D37965">
        <w:rPr>
          <w:i/>
          <w:iCs/>
          <w:color w:val="44546A" w:themeColor="text2"/>
          <w:sz w:val="16"/>
          <w:szCs w:val="16"/>
        </w:rPr>
        <w:t>Keralla</w:t>
      </w:r>
      <w:proofErr w:type="spellEnd"/>
      <w:r w:rsidRPr="00D37965">
        <w:rPr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D37965">
        <w:rPr>
          <w:i/>
          <w:iCs/>
          <w:color w:val="44546A" w:themeColor="text2"/>
          <w:sz w:val="16"/>
          <w:szCs w:val="16"/>
        </w:rPr>
        <w:t>Research</w:t>
      </w:r>
      <w:proofErr w:type="spellEnd"/>
      <w:r w:rsidRPr="00D37965">
        <w:rPr>
          <w:i/>
          <w:iCs/>
          <w:color w:val="44546A" w:themeColor="text2"/>
          <w:sz w:val="16"/>
          <w:szCs w:val="16"/>
        </w:rPr>
        <w:t xml:space="preserve"> na zlecenie Siemens Financial Services</w:t>
      </w:r>
      <w:r w:rsidRPr="00634632">
        <w:rPr>
          <w:i/>
          <w:iCs/>
          <w:color w:val="44546A" w:themeColor="text2"/>
          <w:sz w:val="16"/>
          <w:szCs w:val="16"/>
        </w:rPr>
        <w:t>,</w:t>
      </w:r>
      <w:r w:rsidR="00E66B64">
        <w:rPr>
          <w:i/>
          <w:iCs/>
          <w:color w:val="44546A" w:themeColor="text2"/>
          <w:sz w:val="16"/>
          <w:szCs w:val="16"/>
        </w:rPr>
        <w:t xml:space="preserve"> </w:t>
      </w:r>
      <w:r w:rsidRPr="00634632">
        <w:rPr>
          <w:i/>
          <w:iCs/>
          <w:color w:val="44546A" w:themeColor="text2"/>
          <w:sz w:val="16"/>
          <w:szCs w:val="16"/>
        </w:rPr>
        <w:t>2020.</w:t>
      </w:r>
    </w:p>
    <w:p w14:paraId="6244FFB5" w14:textId="431BDCAC" w:rsidR="0011770C" w:rsidRDefault="0011770C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2D92366" w14:textId="6BCE11C4" w:rsidR="003B651F" w:rsidRPr="00D01334" w:rsidRDefault="003B651F" w:rsidP="009E2B16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 porównaniu do ubiegłego roku, branża </w:t>
      </w:r>
      <w:r w:rsidR="00C8283F">
        <w:rPr>
          <w:rFonts w:asciiTheme="minorHAnsi" w:hAnsiTheme="minorHAnsi" w:cstheme="minorHAnsi"/>
          <w:bCs/>
          <w:iCs/>
          <w:sz w:val="22"/>
          <w:szCs w:val="22"/>
        </w:rPr>
        <w:t xml:space="preserve">obróbki metali </w:t>
      </w:r>
      <w:r>
        <w:rPr>
          <w:rFonts w:asciiTheme="minorHAnsi" w:hAnsiTheme="minorHAnsi" w:cstheme="minorHAnsi"/>
          <w:bCs/>
          <w:iCs/>
          <w:sz w:val="22"/>
          <w:szCs w:val="22"/>
        </w:rPr>
        <w:t>od</w:t>
      </w:r>
      <w:r w:rsidR="000A0D19" w:rsidRPr="00D01334">
        <w:rPr>
          <w:rFonts w:asciiTheme="minorHAnsi" w:hAnsiTheme="minorHAnsi" w:cstheme="minorHAnsi"/>
          <w:bCs/>
          <w:iCs/>
          <w:sz w:val="22"/>
          <w:szCs w:val="22"/>
        </w:rPr>
        <w:t>notowała</w:t>
      </w:r>
      <w:r w:rsidR="00990BDE">
        <w:rPr>
          <w:rFonts w:asciiTheme="minorHAnsi" w:hAnsiTheme="minorHAnsi" w:cstheme="minorHAnsi"/>
          <w:bCs/>
          <w:iCs/>
          <w:sz w:val="22"/>
          <w:szCs w:val="22"/>
        </w:rPr>
        <w:t xml:space="preserve"> także</w:t>
      </w:r>
      <w:r w:rsidR="000A0D19" w:rsidRPr="00D01334">
        <w:rPr>
          <w:rFonts w:asciiTheme="minorHAnsi" w:hAnsiTheme="minorHAnsi" w:cstheme="minorHAnsi"/>
          <w:bCs/>
          <w:iCs/>
          <w:sz w:val="22"/>
          <w:szCs w:val="22"/>
        </w:rPr>
        <w:t xml:space="preserve"> największy wzrost finansowania zewnętrznego</w:t>
      </w:r>
      <w:r w:rsidR="00990BDE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0A0D19" w:rsidRPr="00D01334">
        <w:rPr>
          <w:rFonts w:asciiTheme="minorHAnsi" w:hAnsiTheme="minorHAnsi" w:cstheme="minorHAnsi"/>
          <w:bCs/>
          <w:iCs/>
          <w:sz w:val="22"/>
          <w:szCs w:val="22"/>
        </w:rPr>
        <w:t xml:space="preserve"> spośród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wszystkich</w:t>
      </w:r>
      <w:r w:rsidR="000A0D19" w:rsidRPr="00D01334">
        <w:rPr>
          <w:rFonts w:asciiTheme="minorHAnsi" w:hAnsiTheme="minorHAnsi" w:cstheme="minorHAnsi"/>
          <w:bCs/>
          <w:iCs/>
          <w:sz w:val="22"/>
          <w:szCs w:val="22"/>
        </w:rPr>
        <w:t xml:space="preserve"> badanych sektorów (15 proc.)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99E12CB" w14:textId="28742411" w:rsidR="009602F5" w:rsidRPr="00AF4EDD" w:rsidRDefault="00B5014A">
      <w:pPr>
        <w:tabs>
          <w:tab w:val="left" w:pos="2436"/>
        </w:tabs>
        <w:spacing w:after="120"/>
        <w:jc w:val="both"/>
        <w:rPr>
          <w:iCs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Według danych</w:t>
      </w:r>
      <w:r w:rsidR="00AF4EDD">
        <w:rPr>
          <w:rFonts w:asciiTheme="minorHAnsi" w:hAnsiTheme="minorHAnsi" w:cstheme="minorHAnsi"/>
          <w:bCs/>
          <w:iCs/>
          <w:sz w:val="22"/>
          <w:szCs w:val="22"/>
        </w:rPr>
        <w:t xml:space="preserve"> b</w:t>
      </w:r>
      <w:r w:rsidR="00D35269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lisko 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>co drugie</w:t>
      </w:r>
      <w:r w:rsidR="00D17666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 przedsiębiorstw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>o</w:t>
      </w:r>
      <w:r w:rsidR="00D17666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35269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z </w:t>
      </w:r>
      <w:r w:rsidR="009B24AF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sektora </w:t>
      </w:r>
      <w:r w:rsidR="00D35269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obróbki metali finansuje zakup 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>maszyn i urządzeń</w:t>
      </w:r>
      <w:r w:rsidR="00D35269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="00937A97" w:rsidRPr="00AF4EDD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>wykorzystaniem</w:t>
      </w:r>
      <w:r w:rsidR="00D35269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 leasing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u. To najlepiej </w:t>
      </w:r>
      <w:r w:rsidR="00463467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pokazuje </w:t>
      </w:r>
      <w:r w:rsidR="001B2CB3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zalety 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>tego sposobu pozyskania kapitału dla polskich MŚP. Leasing, dzięki swojej elastyczności, indywidualnemu podejściu do przedsiębiorcy, a także szybkiemu i</w:t>
      </w:r>
      <w:r w:rsidR="00860765" w:rsidRPr="00AF4EDD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>prostemu procesowi</w:t>
      </w:r>
      <w:r w:rsidR="00BC7CAB" w:rsidRPr="00AF4EDD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B651F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 będzie nadal chętnie wykorzystywany przez rodzime firmy</w:t>
      </w:r>
      <w:r w:rsidR="00BC7CAB" w:rsidRPr="00AF4EDD">
        <w:rPr>
          <w:rFonts w:asciiTheme="minorHAnsi" w:hAnsiTheme="minorHAnsi" w:cstheme="minorHAnsi"/>
          <w:bCs/>
          <w:iCs/>
          <w:sz w:val="22"/>
          <w:szCs w:val="22"/>
        </w:rPr>
        <w:t xml:space="preserve"> do finansowania najważniejszych inwestycji</w:t>
      </w:r>
      <w:r w:rsidR="00AF4EDD" w:rsidRPr="00AF4ED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69D3864" w14:textId="77777777" w:rsidR="00871394" w:rsidRDefault="00871394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</w:p>
    <w:p w14:paraId="19687509" w14:textId="20BB9058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2028A98B" w14:textId="030F1769" w:rsidR="004E44F1" w:rsidRP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 xml:space="preserve">Badanie zostało zrealizowane przez Instytut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Keralla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w marcu 2020 r. na podstawie wywiadów z 400 przedstawicielami małych i średnich przedsiębiorstw z branży poligraficznej, metalowej, tworzyw sztucznych i food and </w:t>
      </w:r>
      <w:proofErr w:type="spellStart"/>
      <w:r w:rsidRPr="004E44F1">
        <w:rPr>
          <w:rFonts w:asciiTheme="minorHAnsi" w:hAnsiTheme="minorHAnsi" w:cstheme="minorHAnsi"/>
          <w:sz w:val="18"/>
          <w:szCs w:val="18"/>
        </w:rPr>
        <w:t>beverage</w:t>
      </w:r>
      <w:proofErr w:type="spellEnd"/>
      <w:r w:rsidRPr="004E44F1">
        <w:rPr>
          <w:rFonts w:asciiTheme="minorHAnsi" w:hAnsiTheme="minorHAnsi" w:cstheme="minorHAnsi"/>
          <w:sz w:val="18"/>
          <w:szCs w:val="18"/>
        </w:rPr>
        <w:t xml:space="preserve"> z całej Polski</w:t>
      </w:r>
      <w:r>
        <w:rPr>
          <w:rFonts w:asciiTheme="minorHAnsi" w:hAnsiTheme="minorHAnsi" w:cstheme="minorHAnsi"/>
          <w:sz w:val="18"/>
          <w:szCs w:val="18"/>
        </w:rPr>
        <w:t xml:space="preserve"> oraz posiadających własny park maszyn i urządzań (</w:t>
      </w:r>
      <w:proofErr w:type="spellStart"/>
      <w:r>
        <w:rPr>
          <w:rFonts w:asciiTheme="minorHAnsi" w:hAnsiTheme="minorHAnsi" w:cstheme="minorHAnsi"/>
          <w:sz w:val="18"/>
          <w:szCs w:val="18"/>
        </w:rPr>
        <w:t>MiU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4E44F1">
        <w:rPr>
          <w:rFonts w:asciiTheme="minorHAnsi" w:hAnsiTheme="minorHAnsi" w:cstheme="minorHAnsi"/>
          <w:sz w:val="18"/>
          <w:szCs w:val="18"/>
        </w:rPr>
        <w:t>. Wykorzystano metodę telefonicznych standaryzowanych wywiadów kwest</w:t>
      </w:r>
      <w:r>
        <w:rPr>
          <w:rFonts w:asciiTheme="minorHAnsi" w:hAnsiTheme="minorHAnsi" w:cstheme="minorHAnsi"/>
          <w:sz w:val="18"/>
          <w:szCs w:val="18"/>
        </w:rPr>
        <w:t>ionariuszowych</w:t>
      </w:r>
      <w:r w:rsidRPr="004E44F1">
        <w:rPr>
          <w:rFonts w:asciiTheme="minorHAnsi" w:hAnsiTheme="minorHAnsi" w:cstheme="minorHAnsi"/>
          <w:sz w:val="18"/>
          <w:szCs w:val="18"/>
        </w:rPr>
        <w:t xml:space="preserve"> (CATI).</w:t>
      </w:r>
    </w:p>
    <w:p w14:paraId="52FCF82C" w14:textId="77777777" w:rsidR="004E44F1" w:rsidRPr="006805FC" w:rsidRDefault="004E44F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33B528FB" w14:textId="5ABDB150" w:rsidR="00131B54" w:rsidRPr="005A35CB" w:rsidRDefault="00252D3D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0BDB5EA0" w14:textId="77777777" w:rsidR="004B3A09" w:rsidRDefault="00356FFA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1" w:history="1">
        <w:r w:rsidR="004B3A09" w:rsidRPr="00F51C8C">
          <w:rPr>
            <w:rStyle w:val="Hipercze"/>
            <w:rFonts w:asciiTheme="minorHAnsi" w:hAnsiTheme="minorHAnsi" w:cstheme="minorHAnsi"/>
            <w:sz w:val="22"/>
            <w:szCs w:val="22"/>
            <w:lang w:val="en-GB"/>
          </w:rPr>
          <w:t>radoslaw.pupiec@clearcom.pl</w:t>
        </w:r>
      </w:hyperlink>
    </w:p>
    <w:p w14:paraId="2A4A156C" w14:textId="243FF73C" w:rsidR="00131B54" w:rsidRPr="00A02EF5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A02EF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A02EF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30FB4E1A" w14:textId="77777777" w:rsidR="006D5E28" w:rsidRDefault="006D5E28" w:rsidP="006D5E28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6646">
        <w:rPr>
          <w:rFonts w:asciiTheme="minorHAnsi" w:hAnsiTheme="minorHAnsi" w:cstheme="minorHAnsi"/>
          <w:b/>
          <w:sz w:val="22"/>
          <w:szCs w:val="22"/>
        </w:rPr>
        <w:t>Siemens Financial Services (SFS)</w:t>
      </w:r>
      <w:r w:rsidRPr="004A6646">
        <w:rPr>
          <w:rFonts w:asciiTheme="minorHAnsi" w:hAnsiTheme="minorHAnsi" w:cstheme="minorHAnsi"/>
          <w:bCs/>
          <w:sz w:val="22"/>
          <w:szCs w:val="22"/>
        </w:rPr>
        <w:t xml:space="preserve"> - spółka z grupy Siemens - zapewnia rozwiązania finansowe dla przedsiębiorstw. 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 uzupełniają rozwiązania w 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2" w:history="1">
        <w:r w:rsidRPr="00333536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www.siemens.com/finance</w:t>
        </w:r>
      </w:hyperlink>
      <w:r w:rsidRPr="004A66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F0083F" w14:textId="77777777" w:rsidR="006D5E28" w:rsidRDefault="006D5E28" w:rsidP="006D5E28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439D">
        <w:rPr>
          <w:rFonts w:asciiTheme="minorHAnsi" w:hAnsiTheme="minorHAnsi" w:cstheme="minorHAnsi"/>
          <w:b/>
          <w:sz w:val="22"/>
          <w:szCs w:val="22"/>
        </w:rPr>
        <w:t>Siemens AG</w:t>
      </w:r>
      <w:r w:rsidRPr="004A6646">
        <w:rPr>
          <w:rFonts w:asciiTheme="minorHAnsi" w:hAnsiTheme="minorHAnsi" w:cstheme="minorHAnsi"/>
          <w:bCs/>
          <w:sz w:val="22"/>
          <w:szCs w:val="22"/>
        </w:rPr>
        <w:t xml:space="preserve"> to lider technologiczny będący globalnym symbolem doskonałości technologicznej, innowacyjności, jakości i niezawodności od ponad 170 lat. Firma obecna na całym świecie skupia się na inteligentnej infrastrukturze dla budynków, dystrybucji energii, automatyzacji i cyfryzacji w procesie produkcyjnym. Siemens jednoczy cyfrową i fizyczną rzeczywistość, aby przynosić korzyści klientom i społeczeństwu. Poprzez osobno zarządzaną spółkę Siemens </w:t>
      </w:r>
      <w:proofErr w:type="spellStart"/>
      <w:r w:rsidRPr="004A6646">
        <w:rPr>
          <w:rFonts w:asciiTheme="minorHAnsi" w:hAnsiTheme="minorHAnsi" w:cstheme="minorHAnsi"/>
          <w:bCs/>
          <w:sz w:val="22"/>
          <w:szCs w:val="22"/>
        </w:rPr>
        <w:t>Mobility</w:t>
      </w:r>
      <w:proofErr w:type="spellEnd"/>
      <w:r w:rsidRPr="004A6646">
        <w:rPr>
          <w:rFonts w:asciiTheme="minorHAnsi" w:hAnsiTheme="minorHAnsi" w:cstheme="minorHAnsi"/>
          <w:bCs/>
          <w:sz w:val="22"/>
          <w:szCs w:val="22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4A6646">
        <w:rPr>
          <w:rFonts w:asciiTheme="minorHAnsi" w:hAnsiTheme="minorHAnsi" w:cstheme="minorHAnsi"/>
          <w:bCs/>
          <w:sz w:val="22"/>
          <w:szCs w:val="22"/>
        </w:rPr>
        <w:t>Healthineers</w:t>
      </w:r>
      <w:proofErr w:type="spellEnd"/>
      <w:r w:rsidRPr="004A6646">
        <w:rPr>
          <w:rFonts w:asciiTheme="minorHAnsi" w:hAnsiTheme="minorHAnsi" w:cstheme="minorHAnsi"/>
          <w:bCs/>
          <w:sz w:val="22"/>
          <w:szCs w:val="22"/>
        </w:rPr>
        <w:t xml:space="preserve">, firma jest także wiodącym dostawcą technologii medycznych i cyfrowych usług zdrowotnych. Ponadto Siemens posiada mniejszościowe udziały w spółce Siemens Energy, notowanej na giełdzie od 28 września 2020 roku, będącej globalnym liderem wytwarzania i </w:t>
      </w:r>
      <w:proofErr w:type="spellStart"/>
      <w:r w:rsidRPr="004A6646">
        <w:rPr>
          <w:rFonts w:asciiTheme="minorHAnsi" w:hAnsiTheme="minorHAnsi" w:cstheme="minorHAnsi"/>
          <w:bCs/>
          <w:sz w:val="22"/>
          <w:szCs w:val="22"/>
        </w:rPr>
        <w:t>przesyłu</w:t>
      </w:r>
      <w:proofErr w:type="spellEnd"/>
      <w:r w:rsidRPr="004A6646">
        <w:rPr>
          <w:rFonts w:asciiTheme="minorHAnsi" w:hAnsiTheme="minorHAnsi" w:cstheme="minorHAnsi"/>
          <w:bCs/>
          <w:sz w:val="22"/>
          <w:szCs w:val="22"/>
        </w:rPr>
        <w:t xml:space="preserve"> energii elektrycznej. W 2019 roku grupa Siemens wypracowała 86,8 miliardów euro przychodów i zysk netto na poziomie 5,6 miliarda euro. Na koniec 2019 roku grupa zatrudniała globalnie 385 tys. Więcej informacji można znaleźć na stronie </w:t>
      </w:r>
      <w:hyperlink r:id="rId13" w:history="1">
        <w:r w:rsidRPr="00333536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www.siemens.com</w:t>
        </w:r>
      </w:hyperlink>
      <w:r w:rsidRPr="004A66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D60436" w14:textId="51CFEE71" w:rsidR="00131B54" w:rsidRPr="006805FC" w:rsidRDefault="00131B54" w:rsidP="006D5E2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131B54" w:rsidRPr="006805F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71F2" w14:textId="77777777" w:rsidR="00356FFA" w:rsidRDefault="00356FFA">
      <w:r>
        <w:separator/>
      </w:r>
    </w:p>
  </w:endnote>
  <w:endnote w:type="continuationSeparator" w:id="0">
    <w:p w14:paraId="257E3BE8" w14:textId="77777777" w:rsidR="00356FFA" w:rsidRDefault="0035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6D5E28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brief"/>
          <w:r>
            <w:rPr>
              <w:rFonts w:ascii="Siemens Sans" w:hAnsi="Siemens Sans"/>
            </w:rPr>
            <w:t>Letter of</w:t>
          </w:r>
          <w:bookmarkEnd w:id="6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an"/>
          <w:r>
            <w:rPr>
              <w:rFonts w:ascii="Siemens Sans" w:hAnsi="Siemens Sans"/>
            </w:rPr>
            <w:t>to</w:t>
          </w:r>
          <w:bookmarkEnd w:id="7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uz"/>
          <w:r>
            <w:rPr>
              <w:rFonts w:ascii="Siemens Sans" w:hAnsi="Siemens Sans"/>
            </w:rPr>
            <w:t>Our reference</w:t>
          </w:r>
          <w:bookmarkEnd w:id="8"/>
        </w:p>
      </w:tc>
    </w:tr>
    <w:tr w:rsidR="004234E0" w:rsidRPr="006D5E28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3"/>
          <w:bookmarkEnd w:id="9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0" w:name="scf_Fuss4"/>
          <w:bookmarkEnd w:id="10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92A8" w14:textId="77777777" w:rsidR="00356FFA" w:rsidRDefault="00356FFA">
      <w:r>
        <w:separator/>
      </w:r>
    </w:p>
  </w:footnote>
  <w:footnote w:type="continuationSeparator" w:id="0">
    <w:p w14:paraId="4A5417F3" w14:textId="77777777" w:rsidR="00356FFA" w:rsidRDefault="0035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C1B24B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4234E0" w:rsidRDefault="004234E0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1C5989D3" w:rsidR="004234E0" w:rsidRDefault="000B2E9D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>Warszawa,</w:t>
          </w:r>
          <w:r w:rsidR="00497028">
            <w:rPr>
              <w:rFonts w:ascii="Siemens Sans" w:hAnsi="Siemens Sans"/>
              <w:lang w:val="pl-PL"/>
            </w:rPr>
            <w:t xml:space="preserve"> </w:t>
          </w:r>
          <w:r w:rsidR="00B8750A">
            <w:rPr>
              <w:rFonts w:ascii="Siemens Sans" w:hAnsi="Siemens Sans"/>
              <w:lang w:val="pl-PL"/>
            </w:rPr>
            <w:t>listopad</w:t>
          </w:r>
          <w:r w:rsidR="002E3EAB">
            <w:rPr>
              <w:rFonts w:ascii="Siemens Sans" w:hAnsi="Siemens Sans"/>
              <w:lang w:val="pl-PL"/>
            </w:rPr>
            <w:t xml:space="preserve"> </w:t>
          </w:r>
          <w:r w:rsidR="00662892">
            <w:rPr>
              <w:rFonts w:ascii="Siemens Sans" w:hAnsi="Siemens Sans"/>
              <w:lang w:val="pl-PL"/>
            </w:rPr>
            <w:t>2020</w:t>
          </w:r>
          <w:r w:rsidR="004234E0">
            <w:rPr>
              <w:rFonts w:ascii="Siemens Sans" w:hAnsi="Siemens Sans"/>
              <w:lang w:val="pl-PL"/>
            </w:rPr>
            <w:t xml:space="preserve"> r.</w:t>
          </w:r>
        </w:p>
      </w:tc>
    </w:tr>
  </w:tbl>
  <w:p w14:paraId="540BD1D4" w14:textId="77777777" w:rsidR="004234E0" w:rsidRDefault="004234E0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12" w14:textId="106E6925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5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99784E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07894C4C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99784E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23D1"/>
    <w:rsid w:val="00002854"/>
    <w:rsid w:val="00002F0F"/>
    <w:rsid w:val="0000324B"/>
    <w:rsid w:val="00003350"/>
    <w:rsid w:val="00003D25"/>
    <w:rsid w:val="000042B8"/>
    <w:rsid w:val="0000540E"/>
    <w:rsid w:val="00006AB6"/>
    <w:rsid w:val="000074F4"/>
    <w:rsid w:val="000076B6"/>
    <w:rsid w:val="00007E70"/>
    <w:rsid w:val="00007F15"/>
    <w:rsid w:val="00007FA1"/>
    <w:rsid w:val="00011C2D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1446"/>
    <w:rsid w:val="00021493"/>
    <w:rsid w:val="00021756"/>
    <w:rsid w:val="00021832"/>
    <w:rsid w:val="0002188B"/>
    <w:rsid w:val="00022748"/>
    <w:rsid w:val="000231B9"/>
    <w:rsid w:val="0002470C"/>
    <w:rsid w:val="00025DBE"/>
    <w:rsid w:val="000261BC"/>
    <w:rsid w:val="00027068"/>
    <w:rsid w:val="0002728E"/>
    <w:rsid w:val="00027A15"/>
    <w:rsid w:val="000305DD"/>
    <w:rsid w:val="00030B82"/>
    <w:rsid w:val="00034DD1"/>
    <w:rsid w:val="00034F3E"/>
    <w:rsid w:val="0003663C"/>
    <w:rsid w:val="0003740C"/>
    <w:rsid w:val="00040751"/>
    <w:rsid w:val="00040C77"/>
    <w:rsid w:val="00041098"/>
    <w:rsid w:val="00041D20"/>
    <w:rsid w:val="0004217C"/>
    <w:rsid w:val="00042C5D"/>
    <w:rsid w:val="00044485"/>
    <w:rsid w:val="0004527D"/>
    <w:rsid w:val="000456E3"/>
    <w:rsid w:val="00046DCD"/>
    <w:rsid w:val="000470BA"/>
    <w:rsid w:val="00047C1E"/>
    <w:rsid w:val="00047EC6"/>
    <w:rsid w:val="000507FC"/>
    <w:rsid w:val="00050D57"/>
    <w:rsid w:val="00051537"/>
    <w:rsid w:val="000523F3"/>
    <w:rsid w:val="00052472"/>
    <w:rsid w:val="00052B37"/>
    <w:rsid w:val="00052B54"/>
    <w:rsid w:val="00053243"/>
    <w:rsid w:val="000533B8"/>
    <w:rsid w:val="00055BBC"/>
    <w:rsid w:val="0006010D"/>
    <w:rsid w:val="00060264"/>
    <w:rsid w:val="000608D9"/>
    <w:rsid w:val="000614F8"/>
    <w:rsid w:val="00062A5E"/>
    <w:rsid w:val="0006414E"/>
    <w:rsid w:val="00064970"/>
    <w:rsid w:val="00064FD6"/>
    <w:rsid w:val="00066962"/>
    <w:rsid w:val="0006780A"/>
    <w:rsid w:val="00070F1D"/>
    <w:rsid w:val="00070F2D"/>
    <w:rsid w:val="00071034"/>
    <w:rsid w:val="00071BB9"/>
    <w:rsid w:val="00071DEB"/>
    <w:rsid w:val="0007224A"/>
    <w:rsid w:val="000730D6"/>
    <w:rsid w:val="00073330"/>
    <w:rsid w:val="000734DF"/>
    <w:rsid w:val="000749A2"/>
    <w:rsid w:val="00075E10"/>
    <w:rsid w:val="00075E82"/>
    <w:rsid w:val="00076017"/>
    <w:rsid w:val="0007621B"/>
    <w:rsid w:val="00077C8A"/>
    <w:rsid w:val="000815B7"/>
    <w:rsid w:val="00082551"/>
    <w:rsid w:val="00082AE9"/>
    <w:rsid w:val="00082B90"/>
    <w:rsid w:val="000847F9"/>
    <w:rsid w:val="0008525A"/>
    <w:rsid w:val="00085FBF"/>
    <w:rsid w:val="00086770"/>
    <w:rsid w:val="00086CAA"/>
    <w:rsid w:val="00086CFB"/>
    <w:rsid w:val="00090B18"/>
    <w:rsid w:val="00092465"/>
    <w:rsid w:val="000926B4"/>
    <w:rsid w:val="00092B0F"/>
    <w:rsid w:val="00093A05"/>
    <w:rsid w:val="000947FB"/>
    <w:rsid w:val="00097129"/>
    <w:rsid w:val="000A0D19"/>
    <w:rsid w:val="000A11D2"/>
    <w:rsid w:val="000A168F"/>
    <w:rsid w:val="000A234F"/>
    <w:rsid w:val="000A456F"/>
    <w:rsid w:val="000A544C"/>
    <w:rsid w:val="000A60D7"/>
    <w:rsid w:val="000A6824"/>
    <w:rsid w:val="000B00AF"/>
    <w:rsid w:val="000B08F7"/>
    <w:rsid w:val="000B0BD5"/>
    <w:rsid w:val="000B1164"/>
    <w:rsid w:val="000B2E9D"/>
    <w:rsid w:val="000B337C"/>
    <w:rsid w:val="000B33A6"/>
    <w:rsid w:val="000B360D"/>
    <w:rsid w:val="000B3ACD"/>
    <w:rsid w:val="000B408A"/>
    <w:rsid w:val="000B4ADE"/>
    <w:rsid w:val="000B6A28"/>
    <w:rsid w:val="000B71A3"/>
    <w:rsid w:val="000B7CDE"/>
    <w:rsid w:val="000C009A"/>
    <w:rsid w:val="000C0C7F"/>
    <w:rsid w:val="000C10AC"/>
    <w:rsid w:val="000C14B9"/>
    <w:rsid w:val="000C33FB"/>
    <w:rsid w:val="000C348B"/>
    <w:rsid w:val="000C3CA3"/>
    <w:rsid w:val="000C4853"/>
    <w:rsid w:val="000C4A6B"/>
    <w:rsid w:val="000C4F6E"/>
    <w:rsid w:val="000C5F52"/>
    <w:rsid w:val="000C6533"/>
    <w:rsid w:val="000C773C"/>
    <w:rsid w:val="000D0C0C"/>
    <w:rsid w:val="000D0EF0"/>
    <w:rsid w:val="000D0F8A"/>
    <w:rsid w:val="000D1822"/>
    <w:rsid w:val="000D23A0"/>
    <w:rsid w:val="000D321E"/>
    <w:rsid w:val="000D3CC7"/>
    <w:rsid w:val="000D4288"/>
    <w:rsid w:val="000D4D65"/>
    <w:rsid w:val="000D547F"/>
    <w:rsid w:val="000D6CB2"/>
    <w:rsid w:val="000D7553"/>
    <w:rsid w:val="000E068A"/>
    <w:rsid w:val="000E157A"/>
    <w:rsid w:val="000E2295"/>
    <w:rsid w:val="000E4683"/>
    <w:rsid w:val="000E6540"/>
    <w:rsid w:val="000E69F6"/>
    <w:rsid w:val="000E785F"/>
    <w:rsid w:val="000F0CA9"/>
    <w:rsid w:val="000F11DF"/>
    <w:rsid w:val="000F18D6"/>
    <w:rsid w:val="000F1989"/>
    <w:rsid w:val="000F2F6C"/>
    <w:rsid w:val="000F4CF6"/>
    <w:rsid w:val="000F57C0"/>
    <w:rsid w:val="000F5BA6"/>
    <w:rsid w:val="000F61C0"/>
    <w:rsid w:val="000F689B"/>
    <w:rsid w:val="00101378"/>
    <w:rsid w:val="00101E58"/>
    <w:rsid w:val="001021D4"/>
    <w:rsid w:val="001042E1"/>
    <w:rsid w:val="0010460B"/>
    <w:rsid w:val="0010614A"/>
    <w:rsid w:val="00106AA2"/>
    <w:rsid w:val="00107119"/>
    <w:rsid w:val="00107133"/>
    <w:rsid w:val="00107614"/>
    <w:rsid w:val="00107BCC"/>
    <w:rsid w:val="001107B9"/>
    <w:rsid w:val="0011139E"/>
    <w:rsid w:val="00111739"/>
    <w:rsid w:val="001127C9"/>
    <w:rsid w:val="00116C58"/>
    <w:rsid w:val="00116D07"/>
    <w:rsid w:val="00117071"/>
    <w:rsid w:val="00117223"/>
    <w:rsid w:val="001175C4"/>
    <w:rsid w:val="001176EB"/>
    <w:rsid w:val="0011770C"/>
    <w:rsid w:val="001200A1"/>
    <w:rsid w:val="00120416"/>
    <w:rsid w:val="00123E2E"/>
    <w:rsid w:val="001260F0"/>
    <w:rsid w:val="0012709C"/>
    <w:rsid w:val="00131355"/>
    <w:rsid w:val="00131B54"/>
    <w:rsid w:val="00131FD8"/>
    <w:rsid w:val="0013326B"/>
    <w:rsid w:val="00133433"/>
    <w:rsid w:val="0013544C"/>
    <w:rsid w:val="00135E57"/>
    <w:rsid w:val="00140F86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5A29"/>
    <w:rsid w:val="0014675D"/>
    <w:rsid w:val="00150704"/>
    <w:rsid w:val="00150737"/>
    <w:rsid w:val="001507F9"/>
    <w:rsid w:val="00151DA1"/>
    <w:rsid w:val="00153D67"/>
    <w:rsid w:val="00155856"/>
    <w:rsid w:val="00155D63"/>
    <w:rsid w:val="00155DE0"/>
    <w:rsid w:val="001565C4"/>
    <w:rsid w:val="00156B07"/>
    <w:rsid w:val="0015768F"/>
    <w:rsid w:val="00157A70"/>
    <w:rsid w:val="0016025C"/>
    <w:rsid w:val="00160A52"/>
    <w:rsid w:val="0016134E"/>
    <w:rsid w:val="00161C2D"/>
    <w:rsid w:val="00161F9D"/>
    <w:rsid w:val="001626CB"/>
    <w:rsid w:val="00162FA2"/>
    <w:rsid w:val="00163316"/>
    <w:rsid w:val="00164A02"/>
    <w:rsid w:val="0016513B"/>
    <w:rsid w:val="00166775"/>
    <w:rsid w:val="001667B4"/>
    <w:rsid w:val="001667E6"/>
    <w:rsid w:val="001701E5"/>
    <w:rsid w:val="00171BD2"/>
    <w:rsid w:val="0017276A"/>
    <w:rsid w:val="001729C5"/>
    <w:rsid w:val="00173AA5"/>
    <w:rsid w:val="00175433"/>
    <w:rsid w:val="00177711"/>
    <w:rsid w:val="00182B61"/>
    <w:rsid w:val="00184463"/>
    <w:rsid w:val="00184B15"/>
    <w:rsid w:val="00185169"/>
    <w:rsid w:val="0018553F"/>
    <w:rsid w:val="001901DC"/>
    <w:rsid w:val="001902EE"/>
    <w:rsid w:val="00191750"/>
    <w:rsid w:val="0019237F"/>
    <w:rsid w:val="001935E2"/>
    <w:rsid w:val="00194D91"/>
    <w:rsid w:val="0019521D"/>
    <w:rsid w:val="0019565B"/>
    <w:rsid w:val="00196F1C"/>
    <w:rsid w:val="00196FEA"/>
    <w:rsid w:val="0019785F"/>
    <w:rsid w:val="001A0131"/>
    <w:rsid w:val="001A109F"/>
    <w:rsid w:val="001A184D"/>
    <w:rsid w:val="001A1F06"/>
    <w:rsid w:val="001A296E"/>
    <w:rsid w:val="001A466A"/>
    <w:rsid w:val="001A479B"/>
    <w:rsid w:val="001A5B2F"/>
    <w:rsid w:val="001A60D7"/>
    <w:rsid w:val="001A61EA"/>
    <w:rsid w:val="001B0225"/>
    <w:rsid w:val="001B0626"/>
    <w:rsid w:val="001B0BA0"/>
    <w:rsid w:val="001B0D68"/>
    <w:rsid w:val="001B2CB3"/>
    <w:rsid w:val="001B4A1E"/>
    <w:rsid w:val="001B6A7A"/>
    <w:rsid w:val="001B6DED"/>
    <w:rsid w:val="001B780F"/>
    <w:rsid w:val="001C0B76"/>
    <w:rsid w:val="001C15A4"/>
    <w:rsid w:val="001C210C"/>
    <w:rsid w:val="001C49CE"/>
    <w:rsid w:val="001C5627"/>
    <w:rsid w:val="001C5BFE"/>
    <w:rsid w:val="001C6E42"/>
    <w:rsid w:val="001C7E54"/>
    <w:rsid w:val="001D0B07"/>
    <w:rsid w:val="001D13C1"/>
    <w:rsid w:val="001D15A6"/>
    <w:rsid w:val="001D1F43"/>
    <w:rsid w:val="001D27ED"/>
    <w:rsid w:val="001D5DCC"/>
    <w:rsid w:val="001D64FA"/>
    <w:rsid w:val="001E00E7"/>
    <w:rsid w:val="001E02C8"/>
    <w:rsid w:val="001E12A5"/>
    <w:rsid w:val="001E1648"/>
    <w:rsid w:val="001E1C9E"/>
    <w:rsid w:val="001E1FA5"/>
    <w:rsid w:val="001E21C3"/>
    <w:rsid w:val="001E411D"/>
    <w:rsid w:val="001E478A"/>
    <w:rsid w:val="001E501D"/>
    <w:rsid w:val="001E5071"/>
    <w:rsid w:val="001E5914"/>
    <w:rsid w:val="001E68DC"/>
    <w:rsid w:val="001F0A51"/>
    <w:rsid w:val="001F10AC"/>
    <w:rsid w:val="001F12AE"/>
    <w:rsid w:val="001F4C82"/>
    <w:rsid w:val="001F5C40"/>
    <w:rsid w:val="001F5EA8"/>
    <w:rsid w:val="001F66FE"/>
    <w:rsid w:val="001F7FC2"/>
    <w:rsid w:val="002000D0"/>
    <w:rsid w:val="00200137"/>
    <w:rsid w:val="002004FA"/>
    <w:rsid w:val="00200AE2"/>
    <w:rsid w:val="00200F33"/>
    <w:rsid w:val="00201038"/>
    <w:rsid w:val="002022E2"/>
    <w:rsid w:val="00203447"/>
    <w:rsid w:val="00204901"/>
    <w:rsid w:val="00204F6F"/>
    <w:rsid w:val="00207BCF"/>
    <w:rsid w:val="00210B56"/>
    <w:rsid w:val="002116E4"/>
    <w:rsid w:val="002119F7"/>
    <w:rsid w:val="00212E62"/>
    <w:rsid w:val="0021325F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FCA"/>
    <w:rsid w:val="00223A54"/>
    <w:rsid w:val="002247B5"/>
    <w:rsid w:val="002248D5"/>
    <w:rsid w:val="00224B5F"/>
    <w:rsid w:val="0022728F"/>
    <w:rsid w:val="00227616"/>
    <w:rsid w:val="00230FF8"/>
    <w:rsid w:val="00231725"/>
    <w:rsid w:val="00232597"/>
    <w:rsid w:val="00233B94"/>
    <w:rsid w:val="00234374"/>
    <w:rsid w:val="00234BDF"/>
    <w:rsid w:val="00235237"/>
    <w:rsid w:val="0023626D"/>
    <w:rsid w:val="0023672F"/>
    <w:rsid w:val="002371E8"/>
    <w:rsid w:val="00240CAF"/>
    <w:rsid w:val="00241AF5"/>
    <w:rsid w:val="00242389"/>
    <w:rsid w:val="002429BB"/>
    <w:rsid w:val="002429C6"/>
    <w:rsid w:val="00243503"/>
    <w:rsid w:val="002437C3"/>
    <w:rsid w:val="00243900"/>
    <w:rsid w:val="002439DB"/>
    <w:rsid w:val="002442B8"/>
    <w:rsid w:val="00244670"/>
    <w:rsid w:val="00245B6E"/>
    <w:rsid w:val="00245E18"/>
    <w:rsid w:val="002473B1"/>
    <w:rsid w:val="002475D4"/>
    <w:rsid w:val="00250695"/>
    <w:rsid w:val="0025092B"/>
    <w:rsid w:val="00250FEE"/>
    <w:rsid w:val="002511B2"/>
    <w:rsid w:val="00252599"/>
    <w:rsid w:val="00252D3D"/>
    <w:rsid w:val="0025375C"/>
    <w:rsid w:val="00254396"/>
    <w:rsid w:val="002545E2"/>
    <w:rsid w:val="002551BE"/>
    <w:rsid w:val="00255D49"/>
    <w:rsid w:val="00256873"/>
    <w:rsid w:val="00256CE1"/>
    <w:rsid w:val="00256F0A"/>
    <w:rsid w:val="00260A10"/>
    <w:rsid w:val="00260E3F"/>
    <w:rsid w:val="0026131B"/>
    <w:rsid w:val="00261930"/>
    <w:rsid w:val="00262012"/>
    <w:rsid w:val="00262724"/>
    <w:rsid w:val="0026378C"/>
    <w:rsid w:val="00264BC8"/>
    <w:rsid w:val="00264CB2"/>
    <w:rsid w:val="002664EF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803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4907"/>
    <w:rsid w:val="00286FB2"/>
    <w:rsid w:val="0028735D"/>
    <w:rsid w:val="00287946"/>
    <w:rsid w:val="00287CE3"/>
    <w:rsid w:val="00287DF9"/>
    <w:rsid w:val="00290EBA"/>
    <w:rsid w:val="00292277"/>
    <w:rsid w:val="00292842"/>
    <w:rsid w:val="00292EE3"/>
    <w:rsid w:val="002935FC"/>
    <w:rsid w:val="002955A3"/>
    <w:rsid w:val="00295999"/>
    <w:rsid w:val="002A0072"/>
    <w:rsid w:val="002A017D"/>
    <w:rsid w:val="002A1504"/>
    <w:rsid w:val="002A15E8"/>
    <w:rsid w:val="002A1647"/>
    <w:rsid w:val="002A1BAB"/>
    <w:rsid w:val="002A2E92"/>
    <w:rsid w:val="002A322E"/>
    <w:rsid w:val="002A334F"/>
    <w:rsid w:val="002A498A"/>
    <w:rsid w:val="002A54AC"/>
    <w:rsid w:val="002A778A"/>
    <w:rsid w:val="002B046B"/>
    <w:rsid w:val="002B16CD"/>
    <w:rsid w:val="002B1C8F"/>
    <w:rsid w:val="002B2BF0"/>
    <w:rsid w:val="002B3237"/>
    <w:rsid w:val="002B39BA"/>
    <w:rsid w:val="002B524B"/>
    <w:rsid w:val="002B58D2"/>
    <w:rsid w:val="002B6B1B"/>
    <w:rsid w:val="002B7697"/>
    <w:rsid w:val="002C02BF"/>
    <w:rsid w:val="002C0B21"/>
    <w:rsid w:val="002C0DDA"/>
    <w:rsid w:val="002C0E6B"/>
    <w:rsid w:val="002C2B26"/>
    <w:rsid w:val="002C4165"/>
    <w:rsid w:val="002C5EA6"/>
    <w:rsid w:val="002C6AA0"/>
    <w:rsid w:val="002C74B5"/>
    <w:rsid w:val="002D180B"/>
    <w:rsid w:val="002D1D27"/>
    <w:rsid w:val="002D2215"/>
    <w:rsid w:val="002D221A"/>
    <w:rsid w:val="002D340A"/>
    <w:rsid w:val="002D4221"/>
    <w:rsid w:val="002D4891"/>
    <w:rsid w:val="002D6293"/>
    <w:rsid w:val="002D6844"/>
    <w:rsid w:val="002D7FC5"/>
    <w:rsid w:val="002E0506"/>
    <w:rsid w:val="002E06B0"/>
    <w:rsid w:val="002E130C"/>
    <w:rsid w:val="002E151E"/>
    <w:rsid w:val="002E155E"/>
    <w:rsid w:val="002E1C04"/>
    <w:rsid w:val="002E1DD6"/>
    <w:rsid w:val="002E2C22"/>
    <w:rsid w:val="002E3AAA"/>
    <w:rsid w:val="002E3EAB"/>
    <w:rsid w:val="002E5279"/>
    <w:rsid w:val="002E71FA"/>
    <w:rsid w:val="002E7820"/>
    <w:rsid w:val="002F0317"/>
    <w:rsid w:val="002F1A18"/>
    <w:rsid w:val="002F1FDE"/>
    <w:rsid w:val="002F48A0"/>
    <w:rsid w:val="002F4F02"/>
    <w:rsid w:val="002F522F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122C"/>
    <w:rsid w:val="003030F9"/>
    <w:rsid w:val="003035EC"/>
    <w:rsid w:val="00306D5E"/>
    <w:rsid w:val="00307013"/>
    <w:rsid w:val="00307A1A"/>
    <w:rsid w:val="00307A6C"/>
    <w:rsid w:val="00310901"/>
    <w:rsid w:val="00310DD0"/>
    <w:rsid w:val="00310E1A"/>
    <w:rsid w:val="00311930"/>
    <w:rsid w:val="00312648"/>
    <w:rsid w:val="003126BF"/>
    <w:rsid w:val="003136D4"/>
    <w:rsid w:val="003138C0"/>
    <w:rsid w:val="00313960"/>
    <w:rsid w:val="00315A93"/>
    <w:rsid w:val="003171D4"/>
    <w:rsid w:val="00320547"/>
    <w:rsid w:val="00321B46"/>
    <w:rsid w:val="00321E84"/>
    <w:rsid w:val="00321EAD"/>
    <w:rsid w:val="0032281C"/>
    <w:rsid w:val="0032315C"/>
    <w:rsid w:val="00323603"/>
    <w:rsid w:val="00323AA6"/>
    <w:rsid w:val="0032486F"/>
    <w:rsid w:val="00325510"/>
    <w:rsid w:val="00325895"/>
    <w:rsid w:val="00325CFB"/>
    <w:rsid w:val="003265E6"/>
    <w:rsid w:val="003266BC"/>
    <w:rsid w:val="003275D2"/>
    <w:rsid w:val="0033043E"/>
    <w:rsid w:val="00331262"/>
    <w:rsid w:val="0033173E"/>
    <w:rsid w:val="003331E1"/>
    <w:rsid w:val="003334B1"/>
    <w:rsid w:val="00333F04"/>
    <w:rsid w:val="00334B28"/>
    <w:rsid w:val="00340225"/>
    <w:rsid w:val="003409A2"/>
    <w:rsid w:val="00342300"/>
    <w:rsid w:val="003431E9"/>
    <w:rsid w:val="0034342F"/>
    <w:rsid w:val="00343BD6"/>
    <w:rsid w:val="00344E4E"/>
    <w:rsid w:val="0034557A"/>
    <w:rsid w:val="00345C05"/>
    <w:rsid w:val="003464FF"/>
    <w:rsid w:val="00346C04"/>
    <w:rsid w:val="0034754A"/>
    <w:rsid w:val="00347860"/>
    <w:rsid w:val="00347EBC"/>
    <w:rsid w:val="0035080C"/>
    <w:rsid w:val="0035196E"/>
    <w:rsid w:val="00353134"/>
    <w:rsid w:val="00353828"/>
    <w:rsid w:val="00355E9D"/>
    <w:rsid w:val="00356FFA"/>
    <w:rsid w:val="003572D3"/>
    <w:rsid w:val="00360972"/>
    <w:rsid w:val="0036117A"/>
    <w:rsid w:val="00361C55"/>
    <w:rsid w:val="00362D46"/>
    <w:rsid w:val="003642CF"/>
    <w:rsid w:val="00364692"/>
    <w:rsid w:val="00366147"/>
    <w:rsid w:val="00367379"/>
    <w:rsid w:val="00370874"/>
    <w:rsid w:val="00370AE0"/>
    <w:rsid w:val="00371502"/>
    <w:rsid w:val="00371A0A"/>
    <w:rsid w:val="003733BF"/>
    <w:rsid w:val="00373B09"/>
    <w:rsid w:val="00374AD0"/>
    <w:rsid w:val="00375BE1"/>
    <w:rsid w:val="003776F7"/>
    <w:rsid w:val="00382766"/>
    <w:rsid w:val="00383300"/>
    <w:rsid w:val="00383465"/>
    <w:rsid w:val="003834A0"/>
    <w:rsid w:val="00383C49"/>
    <w:rsid w:val="00383E97"/>
    <w:rsid w:val="00384345"/>
    <w:rsid w:val="00385588"/>
    <w:rsid w:val="00385ED0"/>
    <w:rsid w:val="00386011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3B80"/>
    <w:rsid w:val="00393C70"/>
    <w:rsid w:val="00395CB3"/>
    <w:rsid w:val="0039775C"/>
    <w:rsid w:val="003A13DB"/>
    <w:rsid w:val="003A147F"/>
    <w:rsid w:val="003A1C4E"/>
    <w:rsid w:val="003A3DB2"/>
    <w:rsid w:val="003A57B5"/>
    <w:rsid w:val="003A57F5"/>
    <w:rsid w:val="003A5992"/>
    <w:rsid w:val="003A60AB"/>
    <w:rsid w:val="003A62D4"/>
    <w:rsid w:val="003A678F"/>
    <w:rsid w:val="003A7B1D"/>
    <w:rsid w:val="003B34B0"/>
    <w:rsid w:val="003B3A2D"/>
    <w:rsid w:val="003B3BC2"/>
    <w:rsid w:val="003B4374"/>
    <w:rsid w:val="003B5002"/>
    <w:rsid w:val="003B5053"/>
    <w:rsid w:val="003B538D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335B"/>
    <w:rsid w:val="003C3BD7"/>
    <w:rsid w:val="003C3E15"/>
    <w:rsid w:val="003C5664"/>
    <w:rsid w:val="003C620F"/>
    <w:rsid w:val="003C6D22"/>
    <w:rsid w:val="003C6E33"/>
    <w:rsid w:val="003C71FE"/>
    <w:rsid w:val="003C7711"/>
    <w:rsid w:val="003D0BC0"/>
    <w:rsid w:val="003D0BD8"/>
    <w:rsid w:val="003D1AFD"/>
    <w:rsid w:val="003D280B"/>
    <w:rsid w:val="003D33C6"/>
    <w:rsid w:val="003D3851"/>
    <w:rsid w:val="003D3C1F"/>
    <w:rsid w:val="003D63C5"/>
    <w:rsid w:val="003D66BB"/>
    <w:rsid w:val="003D70D0"/>
    <w:rsid w:val="003D7590"/>
    <w:rsid w:val="003D75BD"/>
    <w:rsid w:val="003E474D"/>
    <w:rsid w:val="003E4C71"/>
    <w:rsid w:val="003E4D8F"/>
    <w:rsid w:val="003E53CD"/>
    <w:rsid w:val="003E57D8"/>
    <w:rsid w:val="003E57FE"/>
    <w:rsid w:val="003E6E3C"/>
    <w:rsid w:val="003E6E48"/>
    <w:rsid w:val="003E6EA2"/>
    <w:rsid w:val="003E7F95"/>
    <w:rsid w:val="003F0C76"/>
    <w:rsid w:val="003F2F42"/>
    <w:rsid w:val="003F3041"/>
    <w:rsid w:val="003F3871"/>
    <w:rsid w:val="003F39B2"/>
    <w:rsid w:val="003F3CE3"/>
    <w:rsid w:val="003F4DB1"/>
    <w:rsid w:val="003F5F48"/>
    <w:rsid w:val="003F6871"/>
    <w:rsid w:val="003F7EC9"/>
    <w:rsid w:val="004002A7"/>
    <w:rsid w:val="0040284B"/>
    <w:rsid w:val="00403771"/>
    <w:rsid w:val="00403E1F"/>
    <w:rsid w:val="00404FFC"/>
    <w:rsid w:val="00405F2C"/>
    <w:rsid w:val="00406F9A"/>
    <w:rsid w:val="004071D5"/>
    <w:rsid w:val="004072A7"/>
    <w:rsid w:val="00407A0C"/>
    <w:rsid w:val="00407AFF"/>
    <w:rsid w:val="00407B3A"/>
    <w:rsid w:val="00407FCB"/>
    <w:rsid w:val="0041112B"/>
    <w:rsid w:val="00411367"/>
    <w:rsid w:val="004115CA"/>
    <w:rsid w:val="00412C15"/>
    <w:rsid w:val="00412CDB"/>
    <w:rsid w:val="00412DD9"/>
    <w:rsid w:val="004140E4"/>
    <w:rsid w:val="004144C1"/>
    <w:rsid w:val="004165B2"/>
    <w:rsid w:val="00416DB3"/>
    <w:rsid w:val="004177C6"/>
    <w:rsid w:val="00420032"/>
    <w:rsid w:val="00420776"/>
    <w:rsid w:val="0042162E"/>
    <w:rsid w:val="00421BFD"/>
    <w:rsid w:val="00421EFB"/>
    <w:rsid w:val="004234E0"/>
    <w:rsid w:val="00425680"/>
    <w:rsid w:val="00427348"/>
    <w:rsid w:val="0043006A"/>
    <w:rsid w:val="00432DC0"/>
    <w:rsid w:val="00433E56"/>
    <w:rsid w:val="004343CB"/>
    <w:rsid w:val="0043454C"/>
    <w:rsid w:val="00434BBE"/>
    <w:rsid w:val="00435145"/>
    <w:rsid w:val="00436348"/>
    <w:rsid w:val="00436A7D"/>
    <w:rsid w:val="00436F75"/>
    <w:rsid w:val="00441AB3"/>
    <w:rsid w:val="00442188"/>
    <w:rsid w:val="004429CF"/>
    <w:rsid w:val="004430E9"/>
    <w:rsid w:val="00443877"/>
    <w:rsid w:val="004450C8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A58"/>
    <w:rsid w:val="00462F76"/>
    <w:rsid w:val="00463467"/>
    <w:rsid w:val="004637CE"/>
    <w:rsid w:val="004650A1"/>
    <w:rsid w:val="004656B5"/>
    <w:rsid w:val="00465B98"/>
    <w:rsid w:val="004666F6"/>
    <w:rsid w:val="00466A08"/>
    <w:rsid w:val="004709F5"/>
    <w:rsid w:val="00470ADE"/>
    <w:rsid w:val="004715A1"/>
    <w:rsid w:val="004730DC"/>
    <w:rsid w:val="004735A6"/>
    <w:rsid w:val="004736DF"/>
    <w:rsid w:val="004736EE"/>
    <w:rsid w:val="00473ECF"/>
    <w:rsid w:val="00474D24"/>
    <w:rsid w:val="00475350"/>
    <w:rsid w:val="00475784"/>
    <w:rsid w:val="004767D1"/>
    <w:rsid w:val="00477A0A"/>
    <w:rsid w:val="00480B8A"/>
    <w:rsid w:val="00480F1A"/>
    <w:rsid w:val="0048120A"/>
    <w:rsid w:val="0048182E"/>
    <w:rsid w:val="00482730"/>
    <w:rsid w:val="00482D58"/>
    <w:rsid w:val="00483C6B"/>
    <w:rsid w:val="00485566"/>
    <w:rsid w:val="00491B33"/>
    <w:rsid w:val="0049268B"/>
    <w:rsid w:val="00493976"/>
    <w:rsid w:val="00493D23"/>
    <w:rsid w:val="00494274"/>
    <w:rsid w:val="00494895"/>
    <w:rsid w:val="00497028"/>
    <w:rsid w:val="004A01DE"/>
    <w:rsid w:val="004A14D4"/>
    <w:rsid w:val="004A2AC0"/>
    <w:rsid w:val="004A3D7D"/>
    <w:rsid w:val="004A3F32"/>
    <w:rsid w:val="004A425C"/>
    <w:rsid w:val="004A5A29"/>
    <w:rsid w:val="004A7D19"/>
    <w:rsid w:val="004B0550"/>
    <w:rsid w:val="004B0A50"/>
    <w:rsid w:val="004B13B7"/>
    <w:rsid w:val="004B1652"/>
    <w:rsid w:val="004B1719"/>
    <w:rsid w:val="004B2402"/>
    <w:rsid w:val="004B3A09"/>
    <w:rsid w:val="004B3CEE"/>
    <w:rsid w:val="004B5596"/>
    <w:rsid w:val="004B68D8"/>
    <w:rsid w:val="004B6F1D"/>
    <w:rsid w:val="004B7607"/>
    <w:rsid w:val="004C0378"/>
    <w:rsid w:val="004C18C1"/>
    <w:rsid w:val="004C285E"/>
    <w:rsid w:val="004C2ACA"/>
    <w:rsid w:val="004C30ED"/>
    <w:rsid w:val="004C374B"/>
    <w:rsid w:val="004C4E06"/>
    <w:rsid w:val="004C6137"/>
    <w:rsid w:val="004C628D"/>
    <w:rsid w:val="004C6D01"/>
    <w:rsid w:val="004C6DA3"/>
    <w:rsid w:val="004D1785"/>
    <w:rsid w:val="004D32F8"/>
    <w:rsid w:val="004D3CF6"/>
    <w:rsid w:val="004D44E8"/>
    <w:rsid w:val="004D541F"/>
    <w:rsid w:val="004D701E"/>
    <w:rsid w:val="004D787B"/>
    <w:rsid w:val="004D7B57"/>
    <w:rsid w:val="004E0C75"/>
    <w:rsid w:val="004E0E36"/>
    <w:rsid w:val="004E194A"/>
    <w:rsid w:val="004E239F"/>
    <w:rsid w:val="004E2FE2"/>
    <w:rsid w:val="004E31A1"/>
    <w:rsid w:val="004E334D"/>
    <w:rsid w:val="004E3D12"/>
    <w:rsid w:val="004E403B"/>
    <w:rsid w:val="004E44F1"/>
    <w:rsid w:val="004E4510"/>
    <w:rsid w:val="004E5EDA"/>
    <w:rsid w:val="004E639E"/>
    <w:rsid w:val="004E6CBB"/>
    <w:rsid w:val="004F0275"/>
    <w:rsid w:val="004F1456"/>
    <w:rsid w:val="004F2F8E"/>
    <w:rsid w:val="004F3918"/>
    <w:rsid w:val="004F4559"/>
    <w:rsid w:val="004F4626"/>
    <w:rsid w:val="004F49B0"/>
    <w:rsid w:val="004F4C28"/>
    <w:rsid w:val="004F5274"/>
    <w:rsid w:val="004F68A2"/>
    <w:rsid w:val="004F6E7E"/>
    <w:rsid w:val="004F7092"/>
    <w:rsid w:val="004F7B92"/>
    <w:rsid w:val="0050030E"/>
    <w:rsid w:val="005008AA"/>
    <w:rsid w:val="00500BDE"/>
    <w:rsid w:val="00502479"/>
    <w:rsid w:val="00502E91"/>
    <w:rsid w:val="00505E93"/>
    <w:rsid w:val="00506408"/>
    <w:rsid w:val="00506662"/>
    <w:rsid w:val="005072D3"/>
    <w:rsid w:val="0050760D"/>
    <w:rsid w:val="00510055"/>
    <w:rsid w:val="005103B3"/>
    <w:rsid w:val="005104CD"/>
    <w:rsid w:val="005109D3"/>
    <w:rsid w:val="0051147F"/>
    <w:rsid w:val="005142A1"/>
    <w:rsid w:val="00516C67"/>
    <w:rsid w:val="00516D4F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5507"/>
    <w:rsid w:val="00525A3D"/>
    <w:rsid w:val="00525C13"/>
    <w:rsid w:val="00525F83"/>
    <w:rsid w:val="005260A2"/>
    <w:rsid w:val="005262F2"/>
    <w:rsid w:val="00526437"/>
    <w:rsid w:val="0053034C"/>
    <w:rsid w:val="005319BF"/>
    <w:rsid w:val="005326F4"/>
    <w:rsid w:val="00532B2C"/>
    <w:rsid w:val="00533ACC"/>
    <w:rsid w:val="005363B6"/>
    <w:rsid w:val="005369D0"/>
    <w:rsid w:val="00536ECF"/>
    <w:rsid w:val="005411A7"/>
    <w:rsid w:val="00541A26"/>
    <w:rsid w:val="005431DF"/>
    <w:rsid w:val="00544BC2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755F"/>
    <w:rsid w:val="005621E5"/>
    <w:rsid w:val="00562BCD"/>
    <w:rsid w:val="00562D05"/>
    <w:rsid w:val="00562F18"/>
    <w:rsid w:val="00564468"/>
    <w:rsid w:val="00564979"/>
    <w:rsid w:val="005650CC"/>
    <w:rsid w:val="005660B3"/>
    <w:rsid w:val="00566766"/>
    <w:rsid w:val="00566BE5"/>
    <w:rsid w:val="00567375"/>
    <w:rsid w:val="00572480"/>
    <w:rsid w:val="005728D3"/>
    <w:rsid w:val="00573793"/>
    <w:rsid w:val="00574625"/>
    <w:rsid w:val="00574917"/>
    <w:rsid w:val="005752A1"/>
    <w:rsid w:val="00575AD2"/>
    <w:rsid w:val="00575D34"/>
    <w:rsid w:val="00577E6B"/>
    <w:rsid w:val="005804E5"/>
    <w:rsid w:val="00580898"/>
    <w:rsid w:val="00581287"/>
    <w:rsid w:val="00581DA3"/>
    <w:rsid w:val="00581DD6"/>
    <w:rsid w:val="00582EB0"/>
    <w:rsid w:val="00583F59"/>
    <w:rsid w:val="0058484B"/>
    <w:rsid w:val="00584D87"/>
    <w:rsid w:val="0058630C"/>
    <w:rsid w:val="00586968"/>
    <w:rsid w:val="00586B25"/>
    <w:rsid w:val="00586F21"/>
    <w:rsid w:val="0058746D"/>
    <w:rsid w:val="00591320"/>
    <w:rsid w:val="005923C6"/>
    <w:rsid w:val="00593036"/>
    <w:rsid w:val="00594641"/>
    <w:rsid w:val="0059695D"/>
    <w:rsid w:val="00596C39"/>
    <w:rsid w:val="00596DE7"/>
    <w:rsid w:val="0059729A"/>
    <w:rsid w:val="005A10C1"/>
    <w:rsid w:val="005A35CB"/>
    <w:rsid w:val="005A3ED9"/>
    <w:rsid w:val="005A412F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B02C8"/>
    <w:rsid w:val="005B05B4"/>
    <w:rsid w:val="005B2350"/>
    <w:rsid w:val="005B317B"/>
    <w:rsid w:val="005B333B"/>
    <w:rsid w:val="005B3E2D"/>
    <w:rsid w:val="005B3F0F"/>
    <w:rsid w:val="005B4FE6"/>
    <w:rsid w:val="005B5862"/>
    <w:rsid w:val="005C03A5"/>
    <w:rsid w:val="005C0AF9"/>
    <w:rsid w:val="005C1671"/>
    <w:rsid w:val="005C3CB5"/>
    <w:rsid w:val="005C3DC9"/>
    <w:rsid w:val="005C3DFB"/>
    <w:rsid w:val="005C4C9D"/>
    <w:rsid w:val="005C4EF6"/>
    <w:rsid w:val="005C4F7A"/>
    <w:rsid w:val="005C57CB"/>
    <w:rsid w:val="005C5902"/>
    <w:rsid w:val="005C7305"/>
    <w:rsid w:val="005C77A3"/>
    <w:rsid w:val="005C7DF1"/>
    <w:rsid w:val="005D02C2"/>
    <w:rsid w:val="005D1DCF"/>
    <w:rsid w:val="005D1E66"/>
    <w:rsid w:val="005D3AD1"/>
    <w:rsid w:val="005D3E7C"/>
    <w:rsid w:val="005D5273"/>
    <w:rsid w:val="005D67E1"/>
    <w:rsid w:val="005D6B33"/>
    <w:rsid w:val="005D6CBC"/>
    <w:rsid w:val="005E07B8"/>
    <w:rsid w:val="005E2DC0"/>
    <w:rsid w:val="005E306A"/>
    <w:rsid w:val="005E315B"/>
    <w:rsid w:val="005E3430"/>
    <w:rsid w:val="005E459E"/>
    <w:rsid w:val="005F0DDC"/>
    <w:rsid w:val="005F1600"/>
    <w:rsid w:val="005F4D9E"/>
    <w:rsid w:val="005F5BDE"/>
    <w:rsid w:val="005F5D43"/>
    <w:rsid w:val="005F73ED"/>
    <w:rsid w:val="005F75C5"/>
    <w:rsid w:val="005F7D27"/>
    <w:rsid w:val="0060079E"/>
    <w:rsid w:val="00600B10"/>
    <w:rsid w:val="00601F58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7080"/>
    <w:rsid w:val="00607732"/>
    <w:rsid w:val="00607897"/>
    <w:rsid w:val="00607EBA"/>
    <w:rsid w:val="006119A1"/>
    <w:rsid w:val="00613FCB"/>
    <w:rsid w:val="006148B9"/>
    <w:rsid w:val="00614A1D"/>
    <w:rsid w:val="00614DEF"/>
    <w:rsid w:val="0061537E"/>
    <w:rsid w:val="00615BF3"/>
    <w:rsid w:val="00616EC5"/>
    <w:rsid w:val="00617323"/>
    <w:rsid w:val="00620726"/>
    <w:rsid w:val="006207CD"/>
    <w:rsid w:val="0062087E"/>
    <w:rsid w:val="00620F73"/>
    <w:rsid w:val="00626566"/>
    <w:rsid w:val="00626B21"/>
    <w:rsid w:val="00630508"/>
    <w:rsid w:val="006309F3"/>
    <w:rsid w:val="00632BAE"/>
    <w:rsid w:val="006345AB"/>
    <w:rsid w:val="00634632"/>
    <w:rsid w:val="00634EDC"/>
    <w:rsid w:val="006352AB"/>
    <w:rsid w:val="006360C2"/>
    <w:rsid w:val="006367DE"/>
    <w:rsid w:val="00637F48"/>
    <w:rsid w:val="006405A3"/>
    <w:rsid w:val="00641AC2"/>
    <w:rsid w:val="00641FBD"/>
    <w:rsid w:val="00642C33"/>
    <w:rsid w:val="006455E8"/>
    <w:rsid w:val="00646AD1"/>
    <w:rsid w:val="00646E2C"/>
    <w:rsid w:val="006471DF"/>
    <w:rsid w:val="0065043D"/>
    <w:rsid w:val="00650E95"/>
    <w:rsid w:val="00651891"/>
    <w:rsid w:val="00651F77"/>
    <w:rsid w:val="00652028"/>
    <w:rsid w:val="00652732"/>
    <w:rsid w:val="00652A68"/>
    <w:rsid w:val="0065395D"/>
    <w:rsid w:val="00655C0A"/>
    <w:rsid w:val="00655E30"/>
    <w:rsid w:val="0066153F"/>
    <w:rsid w:val="00661E95"/>
    <w:rsid w:val="00662213"/>
    <w:rsid w:val="00662892"/>
    <w:rsid w:val="00664780"/>
    <w:rsid w:val="006657CC"/>
    <w:rsid w:val="00666461"/>
    <w:rsid w:val="00670EBE"/>
    <w:rsid w:val="006710FC"/>
    <w:rsid w:val="0067173F"/>
    <w:rsid w:val="00671C0D"/>
    <w:rsid w:val="00672BDD"/>
    <w:rsid w:val="00673272"/>
    <w:rsid w:val="0067474F"/>
    <w:rsid w:val="00674E3A"/>
    <w:rsid w:val="00676BBB"/>
    <w:rsid w:val="00676FAD"/>
    <w:rsid w:val="00676FBA"/>
    <w:rsid w:val="006805FC"/>
    <w:rsid w:val="00681658"/>
    <w:rsid w:val="00681906"/>
    <w:rsid w:val="00681CC8"/>
    <w:rsid w:val="00683776"/>
    <w:rsid w:val="00683ACD"/>
    <w:rsid w:val="0068412C"/>
    <w:rsid w:val="006844E6"/>
    <w:rsid w:val="006867A4"/>
    <w:rsid w:val="006867AA"/>
    <w:rsid w:val="00687B04"/>
    <w:rsid w:val="006903FD"/>
    <w:rsid w:val="00690481"/>
    <w:rsid w:val="00690D3E"/>
    <w:rsid w:val="00690FDD"/>
    <w:rsid w:val="0069196C"/>
    <w:rsid w:val="00691B86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313F"/>
    <w:rsid w:val="006A4949"/>
    <w:rsid w:val="006A5E7E"/>
    <w:rsid w:val="006A729E"/>
    <w:rsid w:val="006A76E0"/>
    <w:rsid w:val="006A7BB9"/>
    <w:rsid w:val="006B1320"/>
    <w:rsid w:val="006B1881"/>
    <w:rsid w:val="006B2EB3"/>
    <w:rsid w:val="006B32DE"/>
    <w:rsid w:val="006B3931"/>
    <w:rsid w:val="006B52A0"/>
    <w:rsid w:val="006B6A1E"/>
    <w:rsid w:val="006B72C3"/>
    <w:rsid w:val="006B73F4"/>
    <w:rsid w:val="006C04A6"/>
    <w:rsid w:val="006C0A4A"/>
    <w:rsid w:val="006C1EF6"/>
    <w:rsid w:val="006C223D"/>
    <w:rsid w:val="006C3EC2"/>
    <w:rsid w:val="006C3EED"/>
    <w:rsid w:val="006C5371"/>
    <w:rsid w:val="006C5AEB"/>
    <w:rsid w:val="006C6216"/>
    <w:rsid w:val="006C6563"/>
    <w:rsid w:val="006C714D"/>
    <w:rsid w:val="006C7411"/>
    <w:rsid w:val="006C7DCB"/>
    <w:rsid w:val="006D0AC7"/>
    <w:rsid w:val="006D2186"/>
    <w:rsid w:val="006D25B0"/>
    <w:rsid w:val="006D2B36"/>
    <w:rsid w:val="006D2D08"/>
    <w:rsid w:val="006D3E81"/>
    <w:rsid w:val="006D3FE5"/>
    <w:rsid w:val="006D4848"/>
    <w:rsid w:val="006D4F88"/>
    <w:rsid w:val="006D5938"/>
    <w:rsid w:val="006D5E28"/>
    <w:rsid w:val="006D70F7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3E75"/>
    <w:rsid w:val="006E440B"/>
    <w:rsid w:val="006E549B"/>
    <w:rsid w:val="006E5EDB"/>
    <w:rsid w:val="006E68BD"/>
    <w:rsid w:val="006E6F89"/>
    <w:rsid w:val="006F19B0"/>
    <w:rsid w:val="006F20C7"/>
    <w:rsid w:val="006F2526"/>
    <w:rsid w:val="006F2A2A"/>
    <w:rsid w:val="006F2CDC"/>
    <w:rsid w:val="006F38A1"/>
    <w:rsid w:val="006F46D3"/>
    <w:rsid w:val="006F47B5"/>
    <w:rsid w:val="006F52B2"/>
    <w:rsid w:val="006F5BBF"/>
    <w:rsid w:val="006F65CE"/>
    <w:rsid w:val="006F7B00"/>
    <w:rsid w:val="00700BDC"/>
    <w:rsid w:val="00702267"/>
    <w:rsid w:val="0070240C"/>
    <w:rsid w:val="007032A4"/>
    <w:rsid w:val="00705079"/>
    <w:rsid w:val="007051D5"/>
    <w:rsid w:val="00705E6B"/>
    <w:rsid w:val="007076DD"/>
    <w:rsid w:val="00710834"/>
    <w:rsid w:val="007116AE"/>
    <w:rsid w:val="007152E2"/>
    <w:rsid w:val="00715688"/>
    <w:rsid w:val="00716490"/>
    <w:rsid w:val="00716885"/>
    <w:rsid w:val="007174D1"/>
    <w:rsid w:val="007177D9"/>
    <w:rsid w:val="007217CD"/>
    <w:rsid w:val="00722DF8"/>
    <w:rsid w:val="00723DE3"/>
    <w:rsid w:val="007304E8"/>
    <w:rsid w:val="00730FFB"/>
    <w:rsid w:val="00731DA1"/>
    <w:rsid w:val="00731F5B"/>
    <w:rsid w:val="007326E6"/>
    <w:rsid w:val="00732AC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4C76"/>
    <w:rsid w:val="00746622"/>
    <w:rsid w:val="00747C8F"/>
    <w:rsid w:val="007509AB"/>
    <w:rsid w:val="007509DC"/>
    <w:rsid w:val="00751081"/>
    <w:rsid w:val="007538D5"/>
    <w:rsid w:val="00755CD2"/>
    <w:rsid w:val="0075765F"/>
    <w:rsid w:val="007618B2"/>
    <w:rsid w:val="00761FA5"/>
    <w:rsid w:val="0076249F"/>
    <w:rsid w:val="0076288B"/>
    <w:rsid w:val="00762E14"/>
    <w:rsid w:val="00763B3B"/>
    <w:rsid w:val="00764D29"/>
    <w:rsid w:val="00766507"/>
    <w:rsid w:val="00766531"/>
    <w:rsid w:val="00767317"/>
    <w:rsid w:val="00770B49"/>
    <w:rsid w:val="00770CEA"/>
    <w:rsid w:val="007718EA"/>
    <w:rsid w:val="007727BE"/>
    <w:rsid w:val="00772A49"/>
    <w:rsid w:val="00772C6C"/>
    <w:rsid w:val="007731DF"/>
    <w:rsid w:val="00773A84"/>
    <w:rsid w:val="00773FEC"/>
    <w:rsid w:val="0077483E"/>
    <w:rsid w:val="007754C3"/>
    <w:rsid w:val="00776526"/>
    <w:rsid w:val="007768C2"/>
    <w:rsid w:val="00776C46"/>
    <w:rsid w:val="00776E85"/>
    <w:rsid w:val="00776FCF"/>
    <w:rsid w:val="007776BC"/>
    <w:rsid w:val="00777CD8"/>
    <w:rsid w:val="00780460"/>
    <w:rsid w:val="00781547"/>
    <w:rsid w:val="00781B1D"/>
    <w:rsid w:val="00781CA8"/>
    <w:rsid w:val="00781F35"/>
    <w:rsid w:val="00782692"/>
    <w:rsid w:val="00782B93"/>
    <w:rsid w:val="00783158"/>
    <w:rsid w:val="00783F7C"/>
    <w:rsid w:val="00784288"/>
    <w:rsid w:val="00784449"/>
    <w:rsid w:val="00785E5F"/>
    <w:rsid w:val="00785F91"/>
    <w:rsid w:val="007861ED"/>
    <w:rsid w:val="00786975"/>
    <w:rsid w:val="007902A6"/>
    <w:rsid w:val="007909E2"/>
    <w:rsid w:val="0079257F"/>
    <w:rsid w:val="007931DB"/>
    <w:rsid w:val="007947F7"/>
    <w:rsid w:val="00795119"/>
    <w:rsid w:val="00795607"/>
    <w:rsid w:val="0079609D"/>
    <w:rsid w:val="00796632"/>
    <w:rsid w:val="007A019F"/>
    <w:rsid w:val="007A0894"/>
    <w:rsid w:val="007A0F45"/>
    <w:rsid w:val="007A1378"/>
    <w:rsid w:val="007A166E"/>
    <w:rsid w:val="007A233D"/>
    <w:rsid w:val="007A249E"/>
    <w:rsid w:val="007A25E6"/>
    <w:rsid w:val="007A427E"/>
    <w:rsid w:val="007A54B3"/>
    <w:rsid w:val="007A5F86"/>
    <w:rsid w:val="007A636F"/>
    <w:rsid w:val="007A7907"/>
    <w:rsid w:val="007B12E0"/>
    <w:rsid w:val="007B3B11"/>
    <w:rsid w:val="007B4D4F"/>
    <w:rsid w:val="007B5F4A"/>
    <w:rsid w:val="007B7BF7"/>
    <w:rsid w:val="007C0886"/>
    <w:rsid w:val="007C1FC2"/>
    <w:rsid w:val="007C2CF9"/>
    <w:rsid w:val="007C34B3"/>
    <w:rsid w:val="007C457D"/>
    <w:rsid w:val="007C4EE9"/>
    <w:rsid w:val="007C4F73"/>
    <w:rsid w:val="007C5CEB"/>
    <w:rsid w:val="007C6715"/>
    <w:rsid w:val="007C798C"/>
    <w:rsid w:val="007D1914"/>
    <w:rsid w:val="007D2BEE"/>
    <w:rsid w:val="007D2D67"/>
    <w:rsid w:val="007D2ED6"/>
    <w:rsid w:val="007D3BE0"/>
    <w:rsid w:val="007D4EF0"/>
    <w:rsid w:val="007D626F"/>
    <w:rsid w:val="007D7924"/>
    <w:rsid w:val="007E01F7"/>
    <w:rsid w:val="007E13F6"/>
    <w:rsid w:val="007E14D8"/>
    <w:rsid w:val="007E213F"/>
    <w:rsid w:val="007E2B00"/>
    <w:rsid w:val="007E2F37"/>
    <w:rsid w:val="007E34F9"/>
    <w:rsid w:val="007E3D5C"/>
    <w:rsid w:val="007E4508"/>
    <w:rsid w:val="007E47B6"/>
    <w:rsid w:val="007E67AF"/>
    <w:rsid w:val="007E6EAC"/>
    <w:rsid w:val="007E6F61"/>
    <w:rsid w:val="007E787B"/>
    <w:rsid w:val="007F2100"/>
    <w:rsid w:val="007F585F"/>
    <w:rsid w:val="007F75F9"/>
    <w:rsid w:val="00800006"/>
    <w:rsid w:val="00801A9A"/>
    <w:rsid w:val="00801AB3"/>
    <w:rsid w:val="00802CED"/>
    <w:rsid w:val="00802E82"/>
    <w:rsid w:val="00804E0A"/>
    <w:rsid w:val="00805557"/>
    <w:rsid w:val="00805876"/>
    <w:rsid w:val="00805C3C"/>
    <w:rsid w:val="008066E1"/>
    <w:rsid w:val="008069D3"/>
    <w:rsid w:val="008103A0"/>
    <w:rsid w:val="008105E0"/>
    <w:rsid w:val="00810C59"/>
    <w:rsid w:val="00812807"/>
    <w:rsid w:val="0081365F"/>
    <w:rsid w:val="00820FA3"/>
    <w:rsid w:val="00821051"/>
    <w:rsid w:val="00821C21"/>
    <w:rsid w:val="0082318C"/>
    <w:rsid w:val="00826068"/>
    <w:rsid w:val="008262E0"/>
    <w:rsid w:val="00830F57"/>
    <w:rsid w:val="0083144C"/>
    <w:rsid w:val="0083181F"/>
    <w:rsid w:val="00831979"/>
    <w:rsid w:val="00835FC0"/>
    <w:rsid w:val="00840055"/>
    <w:rsid w:val="008400D8"/>
    <w:rsid w:val="00840D78"/>
    <w:rsid w:val="0084103B"/>
    <w:rsid w:val="00842FD3"/>
    <w:rsid w:val="00844A18"/>
    <w:rsid w:val="00844BE3"/>
    <w:rsid w:val="00844BFC"/>
    <w:rsid w:val="00844E3D"/>
    <w:rsid w:val="00845023"/>
    <w:rsid w:val="00845D6C"/>
    <w:rsid w:val="00846A55"/>
    <w:rsid w:val="008471BF"/>
    <w:rsid w:val="00847351"/>
    <w:rsid w:val="0085046E"/>
    <w:rsid w:val="00850EAF"/>
    <w:rsid w:val="00851578"/>
    <w:rsid w:val="0085298C"/>
    <w:rsid w:val="00853421"/>
    <w:rsid w:val="00854A14"/>
    <w:rsid w:val="0085561B"/>
    <w:rsid w:val="0085571E"/>
    <w:rsid w:val="008561BA"/>
    <w:rsid w:val="00856722"/>
    <w:rsid w:val="00856902"/>
    <w:rsid w:val="00860412"/>
    <w:rsid w:val="008604E5"/>
    <w:rsid w:val="00860765"/>
    <w:rsid w:val="008607DB"/>
    <w:rsid w:val="0086082B"/>
    <w:rsid w:val="00860E5F"/>
    <w:rsid w:val="008612B1"/>
    <w:rsid w:val="00861AFF"/>
    <w:rsid w:val="00866758"/>
    <w:rsid w:val="00867D71"/>
    <w:rsid w:val="00871394"/>
    <w:rsid w:val="00872D9A"/>
    <w:rsid w:val="00872F09"/>
    <w:rsid w:val="00875A37"/>
    <w:rsid w:val="00877034"/>
    <w:rsid w:val="0087798A"/>
    <w:rsid w:val="0088199B"/>
    <w:rsid w:val="00881C28"/>
    <w:rsid w:val="00882B0D"/>
    <w:rsid w:val="0088458A"/>
    <w:rsid w:val="008845C4"/>
    <w:rsid w:val="008860AB"/>
    <w:rsid w:val="00886610"/>
    <w:rsid w:val="00890A37"/>
    <w:rsid w:val="0089123D"/>
    <w:rsid w:val="00891D66"/>
    <w:rsid w:val="008920E9"/>
    <w:rsid w:val="00892588"/>
    <w:rsid w:val="00892E96"/>
    <w:rsid w:val="00894293"/>
    <w:rsid w:val="008944F1"/>
    <w:rsid w:val="00895096"/>
    <w:rsid w:val="0089516E"/>
    <w:rsid w:val="00897A95"/>
    <w:rsid w:val="00897C4F"/>
    <w:rsid w:val="00897CF3"/>
    <w:rsid w:val="008A0767"/>
    <w:rsid w:val="008A3835"/>
    <w:rsid w:val="008A3E5B"/>
    <w:rsid w:val="008A5ACB"/>
    <w:rsid w:val="008A6EAF"/>
    <w:rsid w:val="008A70B5"/>
    <w:rsid w:val="008B051C"/>
    <w:rsid w:val="008B0DE4"/>
    <w:rsid w:val="008B5E78"/>
    <w:rsid w:val="008B6096"/>
    <w:rsid w:val="008B67B4"/>
    <w:rsid w:val="008C0487"/>
    <w:rsid w:val="008C1EF2"/>
    <w:rsid w:val="008C1FA6"/>
    <w:rsid w:val="008C1FB5"/>
    <w:rsid w:val="008C2BF7"/>
    <w:rsid w:val="008C44EA"/>
    <w:rsid w:val="008C5009"/>
    <w:rsid w:val="008C5164"/>
    <w:rsid w:val="008C52CB"/>
    <w:rsid w:val="008C59BC"/>
    <w:rsid w:val="008C5F7A"/>
    <w:rsid w:val="008C6D40"/>
    <w:rsid w:val="008D08A2"/>
    <w:rsid w:val="008D2AF6"/>
    <w:rsid w:val="008D2BFC"/>
    <w:rsid w:val="008D33EB"/>
    <w:rsid w:val="008D3C85"/>
    <w:rsid w:val="008D4BBF"/>
    <w:rsid w:val="008E1381"/>
    <w:rsid w:val="008E378D"/>
    <w:rsid w:val="008E5464"/>
    <w:rsid w:val="008E5810"/>
    <w:rsid w:val="008E599B"/>
    <w:rsid w:val="008E5DAB"/>
    <w:rsid w:val="008E693D"/>
    <w:rsid w:val="008E693E"/>
    <w:rsid w:val="008E7EFB"/>
    <w:rsid w:val="008F04B3"/>
    <w:rsid w:val="008F0756"/>
    <w:rsid w:val="008F232C"/>
    <w:rsid w:val="008F2D62"/>
    <w:rsid w:val="008F2ED5"/>
    <w:rsid w:val="008F32C7"/>
    <w:rsid w:val="008F36D6"/>
    <w:rsid w:val="008F3FC3"/>
    <w:rsid w:val="008F4633"/>
    <w:rsid w:val="008F4BA7"/>
    <w:rsid w:val="008F4C85"/>
    <w:rsid w:val="008F5289"/>
    <w:rsid w:val="008F5748"/>
    <w:rsid w:val="009010D5"/>
    <w:rsid w:val="009021AE"/>
    <w:rsid w:val="0090470A"/>
    <w:rsid w:val="00904CE7"/>
    <w:rsid w:val="00905423"/>
    <w:rsid w:val="00905971"/>
    <w:rsid w:val="009065FF"/>
    <w:rsid w:val="00907046"/>
    <w:rsid w:val="00907EEA"/>
    <w:rsid w:val="00911D09"/>
    <w:rsid w:val="00911F81"/>
    <w:rsid w:val="00912430"/>
    <w:rsid w:val="009127A9"/>
    <w:rsid w:val="009139F7"/>
    <w:rsid w:val="00913A37"/>
    <w:rsid w:val="00913D88"/>
    <w:rsid w:val="009145F8"/>
    <w:rsid w:val="00915D7B"/>
    <w:rsid w:val="00916597"/>
    <w:rsid w:val="00916E33"/>
    <w:rsid w:val="00917320"/>
    <w:rsid w:val="00917651"/>
    <w:rsid w:val="00917C69"/>
    <w:rsid w:val="009203CE"/>
    <w:rsid w:val="009222BD"/>
    <w:rsid w:val="0092237F"/>
    <w:rsid w:val="00922513"/>
    <w:rsid w:val="00924412"/>
    <w:rsid w:val="009246A8"/>
    <w:rsid w:val="009301D1"/>
    <w:rsid w:val="00930B75"/>
    <w:rsid w:val="009312B4"/>
    <w:rsid w:val="0093311F"/>
    <w:rsid w:val="009332C4"/>
    <w:rsid w:val="00934F5C"/>
    <w:rsid w:val="00935116"/>
    <w:rsid w:val="00935CF9"/>
    <w:rsid w:val="00936A2A"/>
    <w:rsid w:val="00937639"/>
    <w:rsid w:val="00937A97"/>
    <w:rsid w:val="00937F80"/>
    <w:rsid w:val="009401BC"/>
    <w:rsid w:val="00940579"/>
    <w:rsid w:val="00940BFC"/>
    <w:rsid w:val="009437CF"/>
    <w:rsid w:val="009441A5"/>
    <w:rsid w:val="0094427E"/>
    <w:rsid w:val="00944833"/>
    <w:rsid w:val="009450C7"/>
    <w:rsid w:val="009454D0"/>
    <w:rsid w:val="009460A3"/>
    <w:rsid w:val="00946625"/>
    <w:rsid w:val="00947620"/>
    <w:rsid w:val="0094789D"/>
    <w:rsid w:val="0095103A"/>
    <w:rsid w:val="00951D43"/>
    <w:rsid w:val="00952650"/>
    <w:rsid w:val="00952868"/>
    <w:rsid w:val="00954764"/>
    <w:rsid w:val="00955170"/>
    <w:rsid w:val="00955C59"/>
    <w:rsid w:val="0095642E"/>
    <w:rsid w:val="009602F5"/>
    <w:rsid w:val="009606AC"/>
    <w:rsid w:val="00960E06"/>
    <w:rsid w:val="00963DB7"/>
    <w:rsid w:val="0096407F"/>
    <w:rsid w:val="0096543C"/>
    <w:rsid w:val="00965EA2"/>
    <w:rsid w:val="00966F60"/>
    <w:rsid w:val="009671C4"/>
    <w:rsid w:val="00967CA4"/>
    <w:rsid w:val="00970A64"/>
    <w:rsid w:val="0097169B"/>
    <w:rsid w:val="009725E4"/>
    <w:rsid w:val="00975965"/>
    <w:rsid w:val="009775D3"/>
    <w:rsid w:val="00977866"/>
    <w:rsid w:val="0097787F"/>
    <w:rsid w:val="0098157D"/>
    <w:rsid w:val="009816A9"/>
    <w:rsid w:val="00981D19"/>
    <w:rsid w:val="0098214C"/>
    <w:rsid w:val="009821F1"/>
    <w:rsid w:val="0098225E"/>
    <w:rsid w:val="009826A7"/>
    <w:rsid w:val="00983096"/>
    <w:rsid w:val="009843A0"/>
    <w:rsid w:val="00984A30"/>
    <w:rsid w:val="00985694"/>
    <w:rsid w:val="00985BD1"/>
    <w:rsid w:val="009869D2"/>
    <w:rsid w:val="00987773"/>
    <w:rsid w:val="00987CF8"/>
    <w:rsid w:val="00990756"/>
    <w:rsid w:val="00990790"/>
    <w:rsid w:val="00990BDE"/>
    <w:rsid w:val="00991258"/>
    <w:rsid w:val="009917D5"/>
    <w:rsid w:val="00991EB7"/>
    <w:rsid w:val="00993A30"/>
    <w:rsid w:val="00993BDA"/>
    <w:rsid w:val="00994564"/>
    <w:rsid w:val="00994BAB"/>
    <w:rsid w:val="00995030"/>
    <w:rsid w:val="00995526"/>
    <w:rsid w:val="00995572"/>
    <w:rsid w:val="009958A0"/>
    <w:rsid w:val="00995B2B"/>
    <w:rsid w:val="00995EBA"/>
    <w:rsid w:val="00997339"/>
    <w:rsid w:val="0099784E"/>
    <w:rsid w:val="00997C85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B090D"/>
    <w:rsid w:val="009B0EAD"/>
    <w:rsid w:val="009B1C9A"/>
    <w:rsid w:val="009B21B3"/>
    <w:rsid w:val="009B21B4"/>
    <w:rsid w:val="009B24AF"/>
    <w:rsid w:val="009B25AD"/>
    <w:rsid w:val="009B28A6"/>
    <w:rsid w:val="009B29E8"/>
    <w:rsid w:val="009B2A22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897"/>
    <w:rsid w:val="009C0F22"/>
    <w:rsid w:val="009C1953"/>
    <w:rsid w:val="009C2FB0"/>
    <w:rsid w:val="009C34CA"/>
    <w:rsid w:val="009C47D0"/>
    <w:rsid w:val="009C5C46"/>
    <w:rsid w:val="009C636A"/>
    <w:rsid w:val="009C6E32"/>
    <w:rsid w:val="009D1DF8"/>
    <w:rsid w:val="009D1F57"/>
    <w:rsid w:val="009D305E"/>
    <w:rsid w:val="009D3A7E"/>
    <w:rsid w:val="009D3E35"/>
    <w:rsid w:val="009D4A4D"/>
    <w:rsid w:val="009D51A0"/>
    <w:rsid w:val="009D7FD1"/>
    <w:rsid w:val="009E09B7"/>
    <w:rsid w:val="009E1CEC"/>
    <w:rsid w:val="009E2B16"/>
    <w:rsid w:val="009E2D15"/>
    <w:rsid w:val="009E36BE"/>
    <w:rsid w:val="009E608A"/>
    <w:rsid w:val="009E61F4"/>
    <w:rsid w:val="009F0DEB"/>
    <w:rsid w:val="009F3704"/>
    <w:rsid w:val="009F436E"/>
    <w:rsid w:val="009F66E3"/>
    <w:rsid w:val="009F6E14"/>
    <w:rsid w:val="009F7142"/>
    <w:rsid w:val="009F714C"/>
    <w:rsid w:val="00A00A99"/>
    <w:rsid w:val="00A02ADB"/>
    <w:rsid w:val="00A02EF5"/>
    <w:rsid w:val="00A0438D"/>
    <w:rsid w:val="00A04449"/>
    <w:rsid w:val="00A04A78"/>
    <w:rsid w:val="00A07BBC"/>
    <w:rsid w:val="00A07D08"/>
    <w:rsid w:val="00A10107"/>
    <w:rsid w:val="00A1084C"/>
    <w:rsid w:val="00A1119D"/>
    <w:rsid w:val="00A149DB"/>
    <w:rsid w:val="00A14D7E"/>
    <w:rsid w:val="00A1510B"/>
    <w:rsid w:val="00A15C13"/>
    <w:rsid w:val="00A20E58"/>
    <w:rsid w:val="00A20FEA"/>
    <w:rsid w:val="00A210B7"/>
    <w:rsid w:val="00A2113C"/>
    <w:rsid w:val="00A2331E"/>
    <w:rsid w:val="00A239EE"/>
    <w:rsid w:val="00A23CF0"/>
    <w:rsid w:val="00A2472F"/>
    <w:rsid w:val="00A25EB3"/>
    <w:rsid w:val="00A27B63"/>
    <w:rsid w:val="00A31974"/>
    <w:rsid w:val="00A34545"/>
    <w:rsid w:val="00A35225"/>
    <w:rsid w:val="00A3555A"/>
    <w:rsid w:val="00A357CC"/>
    <w:rsid w:val="00A35E01"/>
    <w:rsid w:val="00A35F15"/>
    <w:rsid w:val="00A360C9"/>
    <w:rsid w:val="00A36C34"/>
    <w:rsid w:val="00A36D98"/>
    <w:rsid w:val="00A3770E"/>
    <w:rsid w:val="00A37DC2"/>
    <w:rsid w:val="00A40D7E"/>
    <w:rsid w:val="00A41B60"/>
    <w:rsid w:val="00A43166"/>
    <w:rsid w:val="00A44519"/>
    <w:rsid w:val="00A458C8"/>
    <w:rsid w:val="00A45DF1"/>
    <w:rsid w:val="00A460B0"/>
    <w:rsid w:val="00A47759"/>
    <w:rsid w:val="00A47B36"/>
    <w:rsid w:val="00A47DC3"/>
    <w:rsid w:val="00A511C6"/>
    <w:rsid w:val="00A51A08"/>
    <w:rsid w:val="00A51E09"/>
    <w:rsid w:val="00A52118"/>
    <w:rsid w:val="00A52209"/>
    <w:rsid w:val="00A53061"/>
    <w:rsid w:val="00A5316C"/>
    <w:rsid w:val="00A535AD"/>
    <w:rsid w:val="00A54311"/>
    <w:rsid w:val="00A57EE3"/>
    <w:rsid w:val="00A601B6"/>
    <w:rsid w:val="00A60547"/>
    <w:rsid w:val="00A61549"/>
    <w:rsid w:val="00A617DC"/>
    <w:rsid w:val="00A623E4"/>
    <w:rsid w:val="00A6307F"/>
    <w:rsid w:val="00A64745"/>
    <w:rsid w:val="00A64A8D"/>
    <w:rsid w:val="00A64B00"/>
    <w:rsid w:val="00A6516C"/>
    <w:rsid w:val="00A653EF"/>
    <w:rsid w:val="00A66042"/>
    <w:rsid w:val="00A66936"/>
    <w:rsid w:val="00A6717A"/>
    <w:rsid w:val="00A67D6F"/>
    <w:rsid w:val="00A70272"/>
    <w:rsid w:val="00A7122C"/>
    <w:rsid w:val="00A74553"/>
    <w:rsid w:val="00A7608D"/>
    <w:rsid w:val="00A77CCC"/>
    <w:rsid w:val="00A807B4"/>
    <w:rsid w:val="00A811CC"/>
    <w:rsid w:val="00A81220"/>
    <w:rsid w:val="00A82003"/>
    <w:rsid w:val="00A83947"/>
    <w:rsid w:val="00A83E9A"/>
    <w:rsid w:val="00A84587"/>
    <w:rsid w:val="00A84618"/>
    <w:rsid w:val="00A86066"/>
    <w:rsid w:val="00A87926"/>
    <w:rsid w:val="00A901FE"/>
    <w:rsid w:val="00A909CD"/>
    <w:rsid w:val="00A90BF0"/>
    <w:rsid w:val="00A9192B"/>
    <w:rsid w:val="00A9296B"/>
    <w:rsid w:val="00A929E1"/>
    <w:rsid w:val="00A933A1"/>
    <w:rsid w:val="00A938B0"/>
    <w:rsid w:val="00A93944"/>
    <w:rsid w:val="00AA007C"/>
    <w:rsid w:val="00AA0C28"/>
    <w:rsid w:val="00AA0DC6"/>
    <w:rsid w:val="00AA0E9B"/>
    <w:rsid w:val="00AA11A4"/>
    <w:rsid w:val="00AA32FB"/>
    <w:rsid w:val="00AA3AA1"/>
    <w:rsid w:val="00AA3EDD"/>
    <w:rsid w:val="00AA52CD"/>
    <w:rsid w:val="00AA530E"/>
    <w:rsid w:val="00AA6246"/>
    <w:rsid w:val="00AA6F75"/>
    <w:rsid w:val="00AA7A19"/>
    <w:rsid w:val="00AB00F4"/>
    <w:rsid w:val="00AB0496"/>
    <w:rsid w:val="00AB09C2"/>
    <w:rsid w:val="00AB1A1D"/>
    <w:rsid w:val="00AB2C2F"/>
    <w:rsid w:val="00AB3601"/>
    <w:rsid w:val="00AB4C16"/>
    <w:rsid w:val="00AB4C1E"/>
    <w:rsid w:val="00AB607B"/>
    <w:rsid w:val="00AB645A"/>
    <w:rsid w:val="00AB6E8B"/>
    <w:rsid w:val="00AB73FC"/>
    <w:rsid w:val="00AB792D"/>
    <w:rsid w:val="00AB7CF5"/>
    <w:rsid w:val="00AC0943"/>
    <w:rsid w:val="00AC0DAA"/>
    <w:rsid w:val="00AC1A69"/>
    <w:rsid w:val="00AC240D"/>
    <w:rsid w:val="00AC3BF1"/>
    <w:rsid w:val="00AC575F"/>
    <w:rsid w:val="00AC5B16"/>
    <w:rsid w:val="00AC6E8D"/>
    <w:rsid w:val="00AC782E"/>
    <w:rsid w:val="00AC7A4C"/>
    <w:rsid w:val="00AC7FA1"/>
    <w:rsid w:val="00AD1580"/>
    <w:rsid w:val="00AD2556"/>
    <w:rsid w:val="00AD38C4"/>
    <w:rsid w:val="00AD3E1E"/>
    <w:rsid w:val="00AD56B6"/>
    <w:rsid w:val="00AD6800"/>
    <w:rsid w:val="00AD73BC"/>
    <w:rsid w:val="00AE032C"/>
    <w:rsid w:val="00AE0515"/>
    <w:rsid w:val="00AE0DFC"/>
    <w:rsid w:val="00AE0F5C"/>
    <w:rsid w:val="00AE11DB"/>
    <w:rsid w:val="00AE16C9"/>
    <w:rsid w:val="00AE5AF1"/>
    <w:rsid w:val="00AE6297"/>
    <w:rsid w:val="00AF20DD"/>
    <w:rsid w:val="00AF3453"/>
    <w:rsid w:val="00AF4EDD"/>
    <w:rsid w:val="00AF510B"/>
    <w:rsid w:val="00AF58C0"/>
    <w:rsid w:val="00AF591D"/>
    <w:rsid w:val="00AF5A06"/>
    <w:rsid w:val="00B00C4F"/>
    <w:rsid w:val="00B00F48"/>
    <w:rsid w:val="00B02EDC"/>
    <w:rsid w:val="00B032B6"/>
    <w:rsid w:val="00B04684"/>
    <w:rsid w:val="00B05152"/>
    <w:rsid w:val="00B06A1A"/>
    <w:rsid w:val="00B06F43"/>
    <w:rsid w:val="00B070A1"/>
    <w:rsid w:val="00B077D3"/>
    <w:rsid w:val="00B07D6E"/>
    <w:rsid w:val="00B11539"/>
    <w:rsid w:val="00B118DA"/>
    <w:rsid w:val="00B11ABD"/>
    <w:rsid w:val="00B11C51"/>
    <w:rsid w:val="00B13685"/>
    <w:rsid w:val="00B148CC"/>
    <w:rsid w:val="00B15086"/>
    <w:rsid w:val="00B1574B"/>
    <w:rsid w:val="00B21DDA"/>
    <w:rsid w:val="00B22D28"/>
    <w:rsid w:val="00B2324A"/>
    <w:rsid w:val="00B24650"/>
    <w:rsid w:val="00B24984"/>
    <w:rsid w:val="00B25EAE"/>
    <w:rsid w:val="00B26293"/>
    <w:rsid w:val="00B26815"/>
    <w:rsid w:val="00B26D72"/>
    <w:rsid w:val="00B27821"/>
    <w:rsid w:val="00B27E34"/>
    <w:rsid w:val="00B304C5"/>
    <w:rsid w:val="00B3331B"/>
    <w:rsid w:val="00B33AF7"/>
    <w:rsid w:val="00B34666"/>
    <w:rsid w:val="00B346D6"/>
    <w:rsid w:val="00B36645"/>
    <w:rsid w:val="00B40D7C"/>
    <w:rsid w:val="00B41CAE"/>
    <w:rsid w:val="00B42E4D"/>
    <w:rsid w:val="00B433FC"/>
    <w:rsid w:val="00B43715"/>
    <w:rsid w:val="00B43977"/>
    <w:rsid w:val="00B43ADD"/>
    <w:rsid w:val="00B43C06"/>
    <w:rsid w:val="00B440EF"/>
    <w:rsid w:val="00B44368"/>
    <w:rsid w:val="00B44637"/>
    <w:rsid w:val="00B44D49"/>
    <w:rsid w:val="00B45273"/>
    <w:rsid w:val="00B452D5"/>
    <w:rsid w:val="00B4542F"/>
    <w:rsid w:val="00B45DD0"/>
    <w:rsid w:val="00B5014A"/>
    <w:rsid w:val="00B51C42"/>
    <w:rsid w:val="00B54446"/>
    <w:rsid w:val="00B550AC"/>
    <w:rsid w:val="00B56F71"/>
    <w:rsid w:val="00B61AB5"/>
    <w:rsid w:val="00B62170"/>
    <w:rsid w:val="00B6474E"/>
    <w:rsid w:val="00B64B89"/>
    <w:rsid w:val="00B64EC9"/>
    <w:rsid w:val="00B657B0"/>
    <w:rsid w:val="00B6639B"/>
    <w:rsid w:val="00B6751C"/>
    <w:rsid w:val="00B676F9"/>
    <w:rsid w:val="00B70752"/>
    <w:rsid w:val="00B708A1"/>
    <w:rsid w:val="00B719E0"/>
    <w:rsid w:val="00B72CB3"/>
    <w:rsid w:val="00B73206"/>
    <w:rsid w:val="00B736FC"/>
    <w:rsid w:val="00B74773"/>
    <w:rsid w:val="00B7535F"/>
    <w:rsid w:val="00B75900"/>
    <w:rsid w:val="00B770C4"/>
    <w:rsid w:val="00B770E0"/>
    <w:rsid w:val="00B77D67"/>
    <w:rsid w:val="00B77FC5"/>
    <w:rsid w:val="00B81DB9"/>
    <w:rsid w:val="00B81E38"/>
    <w:rsid w:val="00B82D78"/>
    <w:rsid w:val="00B83940"/>
    <w:rsid w:val="00B83D64"/>
    <w:rsid w:val="00B8750A"/>
    <w:rsid w:val="00B879AD"/>
    <w:rsid w:val="00B87AC6"/>
    <w:rsid w:val="00B90D78"/>
    <w:rsid w:val="00B9181C"/>
    <w:rsid w:val="00B918EB"/>
    <w:rsid w:val="00B9357B"/>
    <w:rsid w:val="00B93CA1"/>
    <w:rsid w:val="00B947B8"/>
    <w:rsid w:val="00B95ECC"/>
    <w:rsid w:val="00B975BB"/>
    <w:rsid w:val="00B97DC4"/>
    <w:rsid w:val="00BA02C0"/>
    <w:rsid w:val="00BA0A01"/>
    <w:rsid w:val="00BA36F5"/>
    <w:rsid w:val="00BA4D7B"/>
    <w:rsid w:val="00BA761E"/>
    <w:rsid w:val="00BA7A4F"/>
    <w:rsid w:val="00BA7A99"/>
    <w:rsid w:val="00BB2093"/>
    <w:rsid w:val="00BB2DA1"/>
    <w:rsid w:val="00BB338C"/>
    <w:rsid w:val="00BB3511"/>
    <w:rsid w:val="00BB3862"/>
    <w:rsid w:val="00BB3946"/>
    <w:rsid w:val="00BB56E4"/>
    <w:rsid w:val="00BB6849"/>
    <w:rsid w:val="00BB6D01"/>
    <w:rsid w:val="00BB7556"/>
    <w:rsid w:val="00BB7D3A"/>
    <w:rsid w:val="00BC0011"/>
    <w:rsid w:val="00BC0524"/>
    <w:rsid w:val="00BC0C89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7137"/>
    <w:rsid w:val="00BC74E0"/>
    <w:rsid w:val="00BC7CAB"/>
    <w:rsid w:val="00BD16C1"/>
    <w:rsid w:val="00BD1A31"/>
    <w:rsid w:val="00BD2D83"/>
    <w:rsid w:val="00BD3635"/>
    <w:rsid w:val="00BD38E7"/>
    <w:rsid w:val="00BD3FD3"/>
    <w:rsid w:val="00BD536A"/>
    <w:rsid w:val="00BD5948"/>
    <w:rsid w:val="00BD679A"/>
    <w:rsid w:val="00BD7111"/>
    <w:rsid w:val="00BE0055"/>
    <w:rsid w:val="00BE032C"/>
    <w:rsid w:val="00BE16D0"/>
    <w:rsid w:val="00BE193A"/>
    <w:rsid w:val="00BE1CA1"/>
    <w:rsid w:val="00BE216A"/>
    <w:rsid w:val="00BE3A4E"/>
    <w:rsid w:val="00BE4B2D"/>
    <w:rsid w:val="00BE51FE"/>
    <w:rsid w:val="00BE62A3"/>
    <w:rsid w:val="00BE7B46"/>
    <w:rsid w:val="00BF01EB"/>
    <w:rsid w:val="00BF08A5"/>
    <w:rsid w:val="00BF171E"/>
    <w:rsid w:val="00BF1FED"/>
    <w:rsid w:val="00BF2C85"/>
    <w:rsid w:val="00BF2E04"/>
    <w:rsid w:val="00BF3C5E"/>
    <w:rsid w:val="00BF3C68"/>
    <w:rsid w:val="00BF4E03"/>
    <w:rsid w:val="00BF5592"/>
    <w:rsid w:val="00BF612E"/>
    <w:rsid w:val="00BF7C1E"/>
    <w:rsid w:val="00C01CB5"/>
    <w:rsid w:val="00C0262A"/>
    <w:rsid w:val="00C028FA"/>
    <w:rsid w:val="00C02CF3"/>
    <w:rsid w:val="00C068CC"/>
    <w:rsid w:val="00C075D6"/>
    <w:rsid w:val="00C07D5F"/>
    <w:rsid w:val="00C10D17"/>
    <w:rsid w:val="00C10DA9"/>
    <w:rsid w:val="00C11DCC"/>
    <w:rsid w:val="00C13B5C"/>
    <w:rsid w:val="00C144AF"/>
    <w:rsid w:val="00C1468E"/>
    <w:rsid w:val="00C15171"/>
    <w:rsid w:val="00C1542B"/>
    <w:rsid w:val="00C15BC5"/>
    <w:rsid w:val="00C1675C"/>
    <w:rsid w:val="00C176A1"/>
    <w:rsid w:val="00C17F35"/>
    <w:rsid w:val="00C200BD"/>
    <w:rsid w:val="00C24FDC"/>
    <w:rsid w:val="00C263EE"/>
    <w:rsid w:val="00C26471"/>
    <w:rsid w:val="00C26790"/>
    <w:rsid w:val="00C27571"/>
    <w:rsid w:val="00C27710"/>
    <w:rsid w:val="00C27851"/>
    <w:rsid w:val="00C27CF5"/>
    <w:rsid w:val="00C30E12"/>
    <w:rsid w:val="00C3202C"/>
    <w:rsid w:val="00C32C3D"/>
    <w:rsid w:val="00C3415C"/>
    <w:rsid w:val="00C34DCC"/>
    <w:rsid w:val="00C34EDF"/>
    <w:rsid w:val="00C35D61"/>
    <w:rsid w:val="00C36446"/>
    <w:rsid w:val="00C37732"/>
    <w:rsid w:val="00C4047D"/>
    <w:rsid w:val="00C426FA"/>
    <w:rsid w:val="00C43F99"/>
    <w:rsid w:val="00C4405E"/>
    <w:rsid w:val="00C45AA0"/>
    <w:rsid w:val="00C4620D"/>
    <w:rsid w:val="00C465A1"/>
    <w:rsid w:val="00C46FB2"/>
    <w:rsid w:val="00C47261"/>
    <w:rsid w:val="00C47DBE"/>
    <w:rsid w:val="00C5316F"/>
    <w:rsid w:val="00C5333E"/>
    <w:rsid w:val="00C53A1F"/>
    <w:rsid w:val="00C54181"/>
    <w:rsid w:val="00C561E9"/>
    <w:rsid w:val="00C56C8D"/>
    <w:rsid w:val="00C57802"/>
    <w:rsid w:val="00C57B5C"/>
    <w:rsid w:val="00C61B12"/>
    <w:rsid w:val="00C627F7"/>
    <w:rsid w:val="00C6290E"/>
    <w:rsid w:val="00C62990"/>
    <w:rsid w:val="00C62C89"/>
    <w:rsid w:val="00C6442A"/>
    <w:rsid w:val="00C6471B"/>
    <w:rsid w:val="00C64C5D"/>
    <w:rsid w:val="00C651B2"/>
    <w:rsid w:val="00C6708B"/>
    <w:rsid w:val="00C6772E"/>
    <w:rsid w:val="00C70295"/>
    <w:rsid w:val="00C7109B"/>
    <w:rsid w:val="00C718C1"/>
    <w:rsid w:val="00C7634E"/>
    <w:rsid w:val="00C764FF"/>
    <w:rsid w:val="00C77616"/>
    <w:rsid w:val="00C77FCF"/>
    <w:rsid w:val="00C77FE5"/>
    <w:rsid w:val="00C81093"/>
    <w:rsid w:val="00C81393"/>
    <w:rsid w:val="00C8176C"/>
    <w:rsid w:val="00C81DE2"/>
    <w:rsid w:val="00C820B6"/>
    <w:rsid w:val="00C8283F"/>
    <w:rsid w:val="00C8483B"/>
    <w:rsid w:val="00C8595D"/>
    <w:rsid w:val="00C85B57"/>
    <w:rsid w:val="00C86B2A"/>
    <w:rsid w:val="00C87A3C"/>
    <w:rsid w:val="00C90006"/>
    <w:rsid w:val="00C919A6"/>
    <w:rsid w:val="00C9308D"/>
    <w:rsid w:val="00C93112"/>
    <w:rsid w:val="00C95246"/>
    <w:rsid w:val="00C952F4"/>
    <w:rsid w:val="00C973A4"/>
    <w:rsid w:val="00CA08C2"/>
    <w:rsid w:val="00CA1CFE"/>
    <w:rsid w:val="00CA2A8C"/>
    <w:rsid w:val="00CA5181"/>
    <w:rsid w:val="00CA5FB4"/>
    <w:rsid w:val="00CB02B5"/>
    <w:rsid w:val="00CB2D2C"/>
    <w:rsid w:val="00CB373C"/>
    <w:rsid w:val="00CB4AC1"/>
    <w:rsid w:val="00CB5301"/>
    <w:rsid w:val="00CB5E45"/>
    <w:rsid w:val="00CB7A4A"/>
    <w:rsid w:val="00CC0955"/>
    <w:rsid w:val="00CC0B23"/>
    <w:rsid w:val="00CC47F5"/>
    <w:rsid w:val="00CC5649"/>
    <w:rsid w:val="00CC7507"/>
    <w:rsid w:val="00CC78C7"/>
    <w:rsid w:val="00CC7C9B"/>
    <w:rsid w:val="00CD16E6"/>
    <w:rsid w:val="00CD1C16"/>
    <w:rsid w:val="00CD241B"/>
    <w:rsid w:val="00CD546C"/>
    <w:rsid w:val="00CD5CD6"/>
    <w:rsid w:val="00CD65BD"/>
    <w:rsid w:val="00CD6C38"/>
    <w:rsid w:val="00CD7494"/>
    <w:rsid w:val="00CE0660"/>
    <w:rsid w:val="00CE0E6D"/>
    <w:rsid w:val="00CE10CF"/>
    <w:rsid w:val="00CE441D"/>
    <w:rsid w:val="00CE4C8A"/>
    <w:rsid w:val="00CE5D91"/>
    <w:rsid w:val="00CE6924"/>
    <w:rsid w:val="00CE7031"/>
    <w:rsid w:val="00CF09FE"/>
    <w:rsid w:val="00CF1460"/>
    <w:rsid w:val="00CF3187"/>
    <w:rsid w:val="00CF400E"/>
    <w:rsid w:val="00CF4FBC"/>
    <w:rsid w:val="00CF5961"/>
    <w:rsid w:val="00CF68BA"/>
    <w:rsid w:val="00CF6B6C"/>
    <w:rsid w:val="00CF7780"/>
    <w:rsid w:val="00D00222"/>
    <w:rsid w:val="00D005F8"/>
    <w:rsid w:val="00D00AA2"/>
    <w:rsid w:val="00D01334"/>
    <w:rsid w:val="00D01E44"/>
    <w:rsid w:val="00D0433B"/>
    <w:rsid w:val="00D04BA8"/>
    <w:rsid w:val="00D06AA9"/>
    <w:rsid w:val="00D06C73"/>
    <w:rsid w:val="00D0736E"/>
    <w:rsid w:val="00D07A87"/>
    <w:rsid w:val="00D1112A"/>
    <w:rsid w:val="00D12D8E"/>
    <w:rsid w:val="00D13EF9"/>
    <w:rsid w:val="00D14124"/>
    <w:rsid w:val="00D1438A"/>
    <w:rsid w:val="00D14500"/>
    <w:rsid w:val="00D14BEB"/>
    <w:rsid w:val="00D1524E"/>
    <w:rsid w:val="00D15909"/>
    <w:rsid w:val="00D15E73"/>
    <w:rsid w:val="00D163EB"/>
    <w:rsid w:val="00D166DB"/>
    <w:rsid w:val="00D16A8C"/>
    <w:rsid w:val="00D17666"/>
    <w:rsid w:val="00D17D12"/>
    <w:rsid w:val="00D2072F"/>
    <w:rsid w:val="00D21439"/>
    <w:rsid w:val="00D21787"/>
    <w:rsid w:val="00D21986"/>
    <w:rsid w:val="00D2281E"/>
    <w:rsid w:val="00D24CA3"/>
    <w:rsid w:val="00D25335"/>
    <w:rsid w:val="00D25B81"/>
    <w:rsid w:val="00D26606"/>
    <w:rsid w:val="00D26F01"/>
    <w:rsid w:val="00D27133"/>
    <w:rsid w:val="00D27B17"/>
    <w:rsid w:val="00D27E61"/>
    <w:rsid w:val="00D307EB"/>
    <w:rsid w:val="00D30ACA"/>
    <w:rsid w:val="00D31585"/>
    <w:rsid w:val="00D31728"/>
    <w:rsid w:val="00D31DDF"/>
    <w:rsid w:val="00D32FBA"/>
    <w:rsid w:val="00D333DC"/>
    <w:rsid w:val="00D335E3"/>
    <w:rsid w:val="00D35269"/>
    <w:rsid w:val="00D36887"/>
    <w:rsid w:val="00D36B90"/>
    <w:rsid w:val="00D36F56"/>
    <w:rsid w:val="00D37965"/>
    <w:rsid w:val="00D40197"/>
    <w:rsid w:val="00D41D3E"/>
    <w:rsid w:val="00D43306"/>
    <w:rsid w:val="00D43E07"/>
    <w:rsid w:val="00D4442A"/>
    <w:rsid w:val="00D44503"/>
    <w:rsid w:val="00D44AD5"/>
    <w:rsid w:val="00D45113"/>
    <w:rsid w:val="00D46675"/>
    <w:rsid w:val="00D46A49"/>
    <w:rsid w:val="00D47588"/>
    <w:rsid w:val="00D47BA5"/>
    <w:rsid w:val="00D52145"/>
    <w:rsid w:val="00D53609"/>
    <w:rsid w:val="00D539C4"/>
    <w:rsid w:val="00D546F8"/>
    <w:rsid w:val="00D54D43"/>
    <w:rsid w:val="00D62E0E"/>
    <w:rsid w:val="00D63A38"/>
    <w:rsid w:val="00D63C61"/>
    <w:rsid w:val="00D66610"/>
    <w:rsid w:val="00D6667A"/>
    <w:rsid w:val="00D67ADB"/>
    <w:rsid w:val="00D7074B"/>
    <w:rsid w:val="00D70E1B"/>
    <w:rsid w:val="00D71899"/>
    <w:rsid w:val="00D74293"/>
    <w:rsid w:val="00D74963"/>
    <w:rsid w:val="00D75EFD"/>
    <w:rsid w:val="00D75F18"/>
    <w:rsid w:val="00D76AA7"/>
    <w:rsid w:val="00D76F6E"/>
    <w:rsid w:val="00D7761A"/>
    <w:rsid w:val="00D80173"/>
    <w:rsid w:val="00D811EC"/>
    <w:rsid w:val="00D81344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212B"/>
    <w:rsid w:val="00D95FE4"/>
    <w:rsid w:val="00D96210"/>
    <w:rsid w:val="00DA0B07"/>
    <w:rsid w:val="00DA2C6D"/>
    <w:rsid w:val="00DA3D0E"/>
    <w:rsid w:val="00DA464A"/>
    <w:rsid w:val="00DA465A"/>
    <w:rsid w:val="00DA4E87"/>
    <w:rsid w:val="00DA52CE"/>
    <w:rsid w:val="00DA6108"/>
    <w:rsid w:val="00DA6874"/>
    <w:rsid w:val="00DA72C2"/>
    <w:rsid w:val="00DA7609"/>
    <w:rsid w:val="00DB0930"/>
    <w:rsid w:val="00DB1FB2"/>
    <w:rsid w:val="00DB4653"/>
    <w:rsid w:val="00DB4E32"/>
    <w:rsid w:val="00DC0C3E"/>
    <w:rsid w:val="00DC1DAB"/>
    <w:rsid w:val="00DC21D5"/>
    <w:rsid w:val="00DC43D2"/>
    <w:rsid w:val="00DC49E7"/>
    <w:rsid w:val="00DC4E5A"/>
    <w:rsid w:val="00DC5DBD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D58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71C3"/>
    <w:rsid w:val="00DE0E50"/>
    <w:rsid w:val="00DE136E"/>
    <w:rsid w:val="00DE25B3"/>
    <w:rsid w:val="00DE358E"/>
    <w:rsid w:val="00DE3826"/>
    <w:rsid w:val="00DE3E10"/>
    <w:rsid w:val="00DE55A5"/>
    <w:rsid w:val="00DF1A45"/>
    <w:rsid w:val="00DF1A71"/>
    <w:rsid w:val="00DF2EE8"/>
    <w:rsid w:val="00DF2F86"/>
    <w:rsid w:val="00DF3B07"/>
    <w:rsid w:val="00DF4729"/>
    <w:rsid w:val="00DF4DFD"/>
    <w:rsid w:val="00DF5170"/>
    <w:rsid w:val="00DF5930"/>
    <w:rsid w:val="00DF6039"/>
    <w:rsid w:val="00DF721A"/>
    <w:rsid w:val="00E0016E"/>
    <w:rsid w:val="00E001F6"/>
    <w:rsid w:val="00E00D2C"/>
    <w:rsid w:val="00E010AC"/>
    <w:rsid w:val="00E01E5F"/>
    <w:rsid w:val="00E02811"/>
    <w:rsid w:val="00E02E75"/>
    <w:rsid w:val="00E03D3C"/>
    <w:rsid w:val="00E0494C"/>
    <w:rsid w:val="00E0643F"/>
    <w:rsid w:val="00E06EB2"/>
    <w:rsid w:val="00E07086"/>
    <w:rsid w:val="00E072A4"/>
    <w:rsid w:val="00E11912"/>
    <w:rsid w:val="00E12E07"/>
    <w:rsid w:val="00E14092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BD1"/>
    <w:rsid w:val="00E26C38"/>
    <w:rsid w:val="00E27CFE"/>
    <w:rsid w:val="00E300D2"/>
    <w:rsid w:val="00E307F7"/>
    <w:rsid w:val="00E30ADF"/>
    <w:rsid w:val="00E30B4C"/>
    <w:rsid w:val="00E30FA9"/>
    <w:rsid w:val="00E3276C"/>
    <w:rsid w:val="00E32875"/>
    <w:rsid w:val="00E329CC"/>
    <w:rsid w:val="00E330C3"/>
    <w:rsid w:val="00E3385F"/>
    <w:rsid w:val="00E35230"/>
    <w:rsid w:val="00E363EA"/>
    <w:rsid w:val="00E368FE"/>
    <w:rsid w:val="00E37DEA"/>
    <w:rsid w:val="00E405D3"/>
    <w:rsid w:val="00E41415"/>
    <w:rsid w:val="00E41E37"/>
    <w:rsid w:val="00E434EA"/>
    <w:rsid w:val="00E43B13"/>
    <w:rsid w:val="00E43B63"/>
    <w:rsid w:val="00E43D10"/>
    <w:rsid w:val="00E445B9"/>
    <w:rsid w:val="00E457E8"/>
    <w:rsid w:val="00E45EF6"/>
    <w:rsid w:val="00E47012"/>
    <w:rsid w:val="00E471D8"/>
    <w:rsid w:val="00E50DE4"/>
    <w:rsid w:val="00E510CC"/>
    <w:rsid w:val="00E51BAD"/>
    <w:rsid w:val="00E51D84"/>
    <w:rsid w:val="00E52414"/>
    <w:rsid w:val="00E54B38"/>
    <w:rsid w:val="00E55B82"/>
    <w:rsid w:val="00E56C00"/>
    <w:rsid w:val="00E57820"/>
    <w:rsid w:val="00E60193"/>
    <w:rsid w:val="00E60654"/>
    <w:rsid w:val="00E609F0"/>
    <w:rsid w:val="00E615E9"/>
    <w:rsid w:val="00E616B2"/>
    <w:rsid w:val="00E629E1"/>
    <w:rsid w:val="00E62E4F"/>
    <w:rsid w:val="00E63E03"/>
    <w:rsid w:val="00E64073"/>
    <w:rsid w:val="00E6431F"/>
    <w:rsid w:val="00E64323"/>
    <w:rsid w:val="00E65546"/>
    <w:rsid w:val="00E65969"/>
    <w:rsid w:val="00E659CA"/>
    <w:rsid w:val="00E66B64"/>
    <w:rsid w:val="00E7029F"/>
    <w:rsid w:val="00E7116E"/>
    <w:rsid w:val="00E71E89"/>
    <w:rsid w:val="00E73E8A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4941"/>
    <w:rsid w:val="00E84FE3"/>
    <w:rsid w:val="00E86448"/>
    <w:rsid w:val="00E86679"/>
    <w:rsid w:val="00E86982"/>
    <w:rsid w:val="00E90FFD"/>
    <w:rsid w:val="00E9123D"/>
    <w:rsid w:val="00E92B9D"/>
    <w:rsid w:val="00E97196"/>
    <w:rsid w:val="00EA0AE8"/>
    <w:rsid w:val="00EA101D"/>
    <w:rsid w:val="00EA110C"/>
    <w:rsid w:val="00EA1D4E"/>
    <w:rsid w:val="00EA2719"/>
    <w:rsid w:val="00EA30AC"/>
    <w:rsid w:val="00EA3442"/>
    <w:rsid w:val="00EA4BED"/>
    <w:rsid w:val="00EA72A3"/>
    <w:rsid w:val="00EB106B"/>
    <w:rsid w:val="00EB108C"/>
    <w:rsid w:val="00EB1C4F"/>
    <w:rsid w:val="00EB235D"/>
    <w:rsid w:val="00EB2A34"/>
    <w:rsid w:val="00EB3473"/>
    <w:rsid w:val="00EB4ABF"/>
    <w:rsid w:val="00EB696D"/>
    <w:rsid w:val="00EB71C9"/>
    <w:rsid w:val="00EB76CD"/>
    <w:rsid w:val="00EC1140"/>
    <w:rsid w:val="00EC3F24"/>
    <w:rsid w:val="00EC4F37"/>
    <w:rsid w:val="00EC63E3"/>
    <w:rsid w:val="00EC6F56"/>
    <w:rsid w:val="00EC77F0"/>
    <w:rsid w:val="00EC7C82"/>
    <w:rsid w:val="00ED107C"/>
    <w:rsid w:val="00ED1929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3410"/>
    <w:rsid w:val="00EE5E04"/>
    <w:rsid w:val="00EE5EF8"/>
    <w:rsid w:val="00EE61DC"/>
    <w:rsid w:val="00EE703F"/>
    <w:rsid w:val="00EF28FA"/>
    <w:rsid w:val="00EF2A7C"/>
    <w:rsid w:val="00EF313D"/>
    <w:rsid w:val="00EF52AD"/>
    <w:rsid w:val="00EF5642"/>
    <w:rsid w:val="00EF5FE1"/>
    <w:rsid w:val="00EF6BE3"/>
    <w:rsid w:val="00EF6CC5"/>
    <w:rsid w:val="00F00B8C"/>
    <w:rsid w:val="00F00F62"/>
    <w:rsid w:val="00F023EB"/>
    <w:rsid w:val="00F02E5A"/>
    <w:rsid w:val="00F03EAC"/>
    <w:rsid w:val="00F04053"/>
    <w:rsid w:val="00F04204"/>
    <w:rsid w:val="00F045AA"/>
    <w:rsid w:val="00F04850"/>
    <w:rsid w:val="00F04973"/>
    <w:rsid w:val="00F04B54"/>
    <w:rsid w:val="00F04DDE"/>
    <w:rsid w:val="00F05BB6"/>
    <w:rsid w:val="00F060CC"/>
    <w:rsid w:val="00F06C60"/>
    <w:rsid w:val="00F1006D"/>
    <w:rsid w:val="00F1016C"/>
    <w:rsid w:val="00F107CD"/>
    <w:rsid w:val="00F10DE4"/>
    <w:rsid w:val="00F11363"/>
    <w:rsid w:val="00F11A47"/>
    <w:rsid w:val="00F12071"/>
    <w:rsid w:val="00F15B9B"/>
    <w:rsid w:val="00F1699A"/>
    <w:rsid w:val="00F1744A"/>
    <w:rsid w:val="00F17538"/>
    <w:rsid w:val="00F17BEF"/>
    <w:rsid w:val="00F20C4F"/>
    <w:rsid w:val="00F21498"/>
    <w:rsid w:val="00F21867"/>
    <w:rsid w:val="00F22366"/>
    <w:rsid w:val="00F22EAE"/>
    <w:rsid w:val="00F23525"/>
    <w:rsid w:val="00F23ED0"/>
    <w:rsid w:val="00F244EA"/>
    <w:rsid w:val="00F246FB"/>
    <w:rsid w:val="00F24FD2"/>
    <w:rsid w:val="00F252EC"/>
    <w:rsid w:val="00F2568C"/>
    <w:rsid w:val="00F25BAE"/>
    <w:rsid w:val="00F2710A"/>
    <w:rsid w:val="00F27AE8"/>
    <w:rsid w:val="00F312BC"/>
    <w:rsid w:val="00F33392"/>
    <w:rsid w:val="00F3423F"/>
    <w:rsid w:val="00F34D49"/>
    <w:rsid w:val="00F3609B"/>
    <w:rsid w:val="00F370F2"/>
    <w:rsid w:val="00F37D37"/>
    <w:rsid w:val="00F408F1"/>
    <w:rsid w:val="00F4399E"/>
    <w:rsid w:val="00F43C7B"/>
    <w:rsid w:val="00F443B9"/>
    <w:rsid w:val="00F46BE6"/>
    <w:rsid w:val="00F471CF"/>
    <w:rsid w:val="00F473F2"/>
    <w:rsid w:val="00F47DEB"/>
    <w:rsid w:val="00F50A29"/>
    <w:rsid w:val="00F5186D"/>
    <w:rsid w:val="00F5380C"/>
    <w:rsid w:val="00F54FF7"/>
    <w:rsid w:val="00F5591C"/>
    <w:rsid w:val="00F55DD3"/>
    <w:rsid w:val="00F56112"/>
    <w:rsid w:val="00F57323"/>
    <w:rsid w:val="00F57D03"/>
    <w:rsid w:val="00F61EF7"/>
    <w:rsid w:val="00F623A7"/>
    <w:rsid w:val="00F62BC0"/>
    <w:rsid w:val="00F63F65"/>
    <w:rsid w:val="00F64698"/>
    <w:rsid w:val="00F64BB9"/>
    <w:rsid w:val="00F64FE3"/>
    <w:rsid w:val="00F655AB"/>
    <w:rsid w:val="00F67863"/>
    <w:rsid w:val="00F71181"/>
    <w:rsid w:val="00F7419D"/>
    <w:rsid w:val="00F747BD"/>
    <w:rsid w:val="00F75111"/>
    <w:rsid w:val="00F75C31"/>
    <w:rsid w:val="00F76346"/>
    <w:rsid w:val="00F76D22"/>
    <w:rsid w:val="00F7787A"/>
    <w:rsid w:val="00F81131"/>
    <w:rsid w:val="00F81730"/>
    <w:rsid w:val="00F81C0D"/>
    <w:rsid w:val="00F82590"/>
    <w:rsid w:val="00F84CA2"/>
    <w:rsid w:val="00F85643"/>
    <w:rsid w:val="00F85661"/>
    <w:rsid w:val="00F86AAD"/>
    <w:rsid w:val="00F86F3B"/>
    <w:rsid w:val="00F87455"/>
    <w:rsid w:val="00F8779E"/>
    <w:rsid w:val="00F87858"/>
    <w:rsid w:val="00F902A6"/>
    <w:rsid w:val="00F903EA"/>
    <w:rsid w:val="00F9046D"/>
    <w:rsid w:val="00F911B1"/>
    <w:rsid w:val="00F92427"/>
    <w:rsid w:val="00F92974"/>
    <w:rsid w:val="00F92E9E"/>
    <w:rsid w:val="00F931EB"/>
    <w:rsid w:val="00F95D12"/>
    <w:rsid w:val="00F95F5C"/>
    <w:rsid w:val="00F9672A"/>
    <w:rsid w:val="00FA0F65"/>
    <w:rsid w:val="00FA1C9E"/>
    <w:rsid w:val="00FA2422"/>
    <w:rsid w:val="00FA2C91"/>
    <w:rsid w:val="00FA378A"/>
    <w:rsid w:val="00FA4963"/>
    <w:rsid w:val="00FA4B62"/>
    <w:rsid w:val="00FA5175"/>
    <w:rsid w:val="00FA5E2C"/>
    <w:rsid w:val="00FA630A"/>
    <w:rsid w:val="00FA7613"/>
    <w:rsid w:val="00FA7F6A"/>
    <w:rsid w:val="00FB0C61"/>
    <w:rsid w:val="00FB0EDA"/>
    <w:rsid w:val="00FB1337"/>
    <w:rsid w:val="00FB1992"/>
    <w:rsid w:val="00FB4EC5"/>
    <w:rsid w:val="00FB5EB8"/>
    <w:rsid w:val="00FB629D"/>
    <w:rsid w:val="00FB6BFC"/>
    <w:rsid w:val="00FB7AEC"/>
    <w:rsid w:val="00FB7EA0"/>
    <w:rsid w:val="00FC01DA"/>
    <w:rsid w:val="00FC1832"/>
    <w:rsid w:val="00FC2CB7"/>
    <w:rsid w:val="00FC32FD"/>
    <w:rsid w:val="00FC36D9"/>
    <w:rsid w:val="00FC3829"/>
    <w:rsid w:val="00FC3C4A"/>
    <w:rsid w:val="00FC46EC"/>
    <w:rsid w:val="00FC52E8"/>
    <w:rsid w:val="00FC5757"/>
    <w:rsid w:val="00FC730C"/>
    <w:rsid w:val="00FC73E9"/>
    <w:rsid w:val="00FD0D6C"/>
    <w:rsid w:val="00FD23B3"/>
    <w:rsid w:val="00FD23B6"/>
    <w:rsid w:val="00FD3667"/>
    <w:rsid w:val="00FD47E6"/>
    <w:rsid w:val="00FD4A24"/>
    <w:rsid w:val="00FD50F4"/>
    <w:rsid w:val="00FD52BB"/>
    <w:rsid w:val="00FD5690"/>
    <w:rsid w:val="00FD697B"/>
    <w:rsid w:val="00FD6C49"/>
    <w:rsid w:val="00FD702E"/>
    <w:rsid w:val="00FD791C"/>
    <w:rsid w:val="00FE07FA"/>
    <w:rsid w:val="00FE16B4"/>
    <w:rsid w:val="00FE22E8"/>
    <w:rsid w:val="00FE2B5F"/>
    <w:rsid w:val="00FE2F63"/>
    <w:rsid w:val="00FE2FB4"/>
    <w:rsid w:val="00FE3C61"/>
    <w:rsid w:val="00FE54DE"/>
    <w:rsid w:val="00FF077D"/>
    <w:rsid w:val="00FF2800"/>
    <w:rsid w:val="00FF328D"/>
    <w:rsid w:val="00FF32B9"/>
    <w:rsid w:val="00FF3484"/>
    <w:rsid w:val="00FF3CCA"/>
    <w:rsid w:val="00FF54B4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iemen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mens.com/finan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pupiec@clear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Jak kształtują się następujące obszary w relacji do minionego roku w Pana/Pani firmie? 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2785046728971963"/>
          <c:y val="6.24637164256906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Wzrost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</c:v>
                </c:pt>
                <c:pt idx="1">
                  <c:v>0.37</c:v>
                </c:pt>
                <c:pt idx="2">
                  <c:v>0.15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0-4507-A4F1-F49B7E84A33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 zmian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0.54</c:v>
                </c:pt>
                <c:pt idx="1">
                  <c:v>0.53</c:v>
                </c:pt>
                <c:pt idx="2">
                  <c:v>0.62</c:v>
                </c:pt>
                <c:pt idx="3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B0-4507-A4F1-F49B7E84A33E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Spadek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Arkusz1!$D$2:$D$5</c:f>
              <c:numCache>
                <c:formatCode>0%</c:formatCode>
                <c:ptCount val="4"/>
                <c:pt idx="0">
                  <c:v>0.05</c:v>
                </c:pt>
                <c:pt idx="1">
                  <c:v>0.02</c:v>
                </c:pt>
                <c:pt idx="2">
                  <c:v>0.05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B0-4507-A4F1-F49B7E84A33E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dLbl>
              <c:idx val="0"/>
              <c:layout>
                <c:manualLayout>
                  <c:x val="2.2895806248517999E-2"/>
                  <c:y val="5.4871189881752581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B0-4507-A4F1-F49B7E84A33E}"/>
                </c:ext>
              </c:extLst>
            </c:dLbl>
            <c:dLbl>
              <c:idx val="1"/>
              <c:layout>
                <c:manualLayout>
                  <c:x val="1.7797401493037518E-2"/>
                  <c:y val="1.0974237976989302E-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B0-4507-A4F1-F49B7E84A33E}"/>
                </c:ext>
              </c:extLst>
            </c:dLbl>
            <c:dLbl>
              <c:idx val="2"/>
              <c:layout>
                <c:manualLayout>
                  <c:x val="1.5586299376129386E-2"/>
                  <c:y val="2.74685176548053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B0-4507-A4F1-F49B7E84A33E}"/>
                </c:ext>
              </c:extLst>
            </c:dLbl>
            <c:dLbl>
              <c:idx val="3"/>
              <c:layout>
                <c:manualLayout>
                  <c:x val="7.0300324608956587E-3"/>
                  <c:y val="5.493154819062251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B0-4507-A4F1-F49B7E84A33E}"/>
                </c:ext>
              </c:extLst>
            </c:dLbl>
            <c:dLbl>
              <c:idx val="4"/>
              <c:layout>
                <c:manualLayout>
                  <c:x val="2.3421842017553433E-2"/>
                  <c:y val="2.74638306043210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B0-4507-A4F1-F49B7E84A33E}"/>
                </c:ext>
              </c:extLst>
            </c:dLbl>
            <c:dLbl>
              <c:idx val="5"/>
              <c:layout>
                <c:manualLayout>
                  <c:x val="4.2114394696885528E-2"/>
                  <c:y val="-2.745950593215180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3B0-4507-A4F1-F49B7E84A33E}"/>
                </c:ext>
              </c:extLst>
            </c:dLbl>
            <c:dLbl>
              <c:idx val="6"/>
              <c:layout>
                <c:manualLayout>
                  <c:x val="5.0564381735362735E-2"/>
                  <c:y val="-5.492333653647284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B0-4507-A4F1-F49B7E84A3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Odnowienie parku MiU</c:v>
                </c:pt>
                <c:pt idx="1">
                  <c:v>Stopień automatyzacji</c:v>
                </c:pt>
                <c:pt idx="2">
                  <c:v>Udział finansowania zewnętrznego</c:v>
                </c:pt>
                <c:pt idx="3">
                  <c:v>Częstotliwość odnowienia MiU</c:v>
                </c:pt>
              </c:strCache>
            </c:strRef>
          </c:cat>
          <c:val>
            <c:numRef>
              <c:f>Arkusz1!$E$2:$E$5</c:f>
              <c:numCache>
                <c:formatCode>0%</c:formatCode>
                <c:ptCount val="4"/>
                <c:pt idx="0">
                  <c:v>0.01</c:v>
                </c:pt>
                <c:pt idx="1">
                  <c:v>0.08</c:v>
                </c:pt>
                <c:pt idx="2">
                  <c:v>0.18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3B0-4507-A4F1-F49B7E84A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294587800"/>
        <c:axId val="294588584"/>
      </c:barChart>
      <c:catAx>
        <c:axId val="294587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</a:schemeClr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294588584"/>
        <c:crosses val="autoZero"/>
        <c:auto val="1"/>
        <c:lblAlgn val="ctr"/>
        <c:lblOffset val="100"/>
        <c:noMultiLvlLbl val="0"/>
      </c:catAx>
      <c:valAx>
        <c:axId val="294588584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9458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200">
                <a:latin typeface="Century Gothic" panose="020B0502020202020204" pitchFamily="34" charset="0"/>
              </a:defRPr>
            </a:pPr>
            <a:r>
              <a:rPr lang="pl-PL" sz="1200" b="1" i="0" baseline="0">
                <a:effectLst/>
                <a:latin typeface="Century Gothic" panose="020B0502020202020204" pitchFamily="34" charset="0"/>
              </a:rPr>
              <a:t>Przygotowanie do konkurowania w stosunku do firm zagranicznych</a:t>
            </a:r>
            <a:endParaRPr lang="pl-PL" sz="1200">
              <a:effectLst/>
              <a:latin typeface="Century Gothic" panose="020B0502020202020204" pitchFamily="34" charset="0"/>
            </a:endParaRPr>
          </a:p>
        </c:rich>
      </c:tx>
      <c:layout>
        <c:manualLayout>
          <c:xMode val="edge"/>
          <c:yMode val="edge"/>
          <c:x val="0.18600207684319833"/>
          <c:y val="6.24637164256906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6003947368421055"/>
          <c:y val="0.34255363534103689"/>
          <c:w val="0.45937266229678186"/>
          <c:h val="0.4945814500460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Arkusz1!$A$1</c:f>
              <c:strCache>
                <c:ptCount val="1"/>
                <c:pt idx="0">
                  <c:v>Bardziej konkurencyjni</c:v>
                </c:pt>
              </c:strCache>
            </c:strRef>
          </c:tx>
          <c:spPr>
            <a:solidFill>
              <a:srgbClr val="0082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9.7508605816797028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Century Gothic" panose="020B050202020202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F6-4CCC-9AA7-C279684EB2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Arkusz1!$A$2</c:f>
              <c:numCache>
                <c:formatCode>0.0%</c:formatCode>
                <c:ptCount val="1"/>
                <c:pt idx="0">
                  <c:v>0.04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0414-452F-BA25-90D69C1FF0F4}"/>
            </c:ext>
          </c:extLst>
        </c:ser>
        <c:ser>
          <c:idx val="1"/>
          <c:order val="1"/>
          <c:tx>
            <c:strRef>
              <c:f>Arkusz1!$B$1</c:f>
              <c:strCache>
                <c:ptCount val="1"/>
                <c:pt idx="0">
                  <c:v>Tak samo konkurencyjni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Arkusz1!$B$2</c:f>
              <c:numCache>
                <c:formatCode>0.0%</c:formatCode>
                <c:ptCount val="1"/>
                <c:pt idx="0">
                  <c:v>0.44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0414-452F-BA25-90D69C1FF0F4}"/>
            </c:ext>
          </c:extLst>
        </c:ser>
        <c:ser>
          <c:idx val="2"/>
          <c:order val="2"/>
          <c:tx>
            <c:strRef>
              <c:f>Arkusz1!$C$1</c:f>
              <c:strCache>
                <c:ptCount val="1"/>
                <c:pt idx="0">
                  <c:v>Mniej konkurencyjni</c:v>
                </c:pt>
              </c:strCache>
            </c:strRef>
          </c:tx>
          <c:spPr>
            <a:solidFill>
              <a:srgbClr val="C80000"/>
            </a:solidFill>
            <a:ln>
              <a:solidFill>
                <a:schemeClr val="bg1"/>
              </a:solidFill>
            </a:ln>
            <a:effectLst>
              <a:outerShdw blurRad="63500" sx="102000" sy="102000" algn="ct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solidFill>
                <a:srgbClr val="C80000"/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Arkusz1!$C$2</c:f>
              <c:numCache>
                <c:formatCode>0.0%</c:formatCode>
                <c:ptCount val="1"/>
                <c:pt idx="0">
                  <c:v>0.23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2-0414-452F-BA25-90D69C1FF0F4}"/>
            </c:ext>
          </c:extLst>
        </c:ser>
        <c:ser>
          <c:idx val="3"/>
          <c:order val="3"/>
          <c:tx>
            <c:strRef>
              <c:f>Arkusz1!$D$1</c:f>
              <c:strCache>
                <c:ptCount val="1"/>
                <c:pt idx="0">
                  <c:v>To zależy</c:v>
                </c:pt>
              </c:strCache>
            </c:strRef>
          </c:tx>
          <c:spPr>
            <a:noFill/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chemeClr val="tx1">
                        <a:lumMod val="75000"/>
                      </a:schemeClr>
                    </a:solidFill>
                    <a:latin typeface="Century Gothic" panose="020B0502020202020204" pitchFamily="34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Arkusz1!$D$2</c:f>
              <c:numCache>
                <c:formatCode>0.0%</c:formatCode>
                <c:ptCount val="1"/>
                <c:pt idx="0">
                  <c:v>0.19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A-0414-452F-BA25-90D69C1FF0F4}"/>
            </c:ext>
          </c:extLst>
        </c:ser>
        <c:ser>
          <c:idx val="4"/>
          <c:order val="4"/>
          <c:tx>
            <c:strRef>
              <c:f>Arkusz1!$E$1</c:f>
              <c:strCache>
                <c:ptCount val="1"/>
                <c:pt idx="0">
                  <c:v>Nie wiem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Arkusz1!$E$2</c:f>
              <c:numCache>
                <c:formatCode>0.0%</c:formatCode>
                <c:ptCount val="1"/>
                <c:pt idx="0">
                  <c:v>0.1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 xmlns:c16="http://schemas.microsoft.com/office/drawing/2014/chart">
                      <c:ext uri="{02D57815-91ED-43cb-92C2-25804820EDAC}">
                        <c15:formulaRef>
                          <c15:sqref>Arkusz1!#REF!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B-0414-452F-BA25-90D69C1FF0F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294582704"/>
        <c:axId val="294584272"/>
      </c:barChart>
      <c:catAx>
        <c:axId val="294582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94584272"/>
        <c:crosses val="autoZero"/>
        <c:auto val="1"/>
        <c:lblAlgn val="ctr"/>
        <c:lblOffset val="100"/>
        <c:noMultiLvlLbl val="0"/>
      </c:catAx>
      <c:valAx>
        <c:axId val="29458427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29458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</a:schemeClr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Wykorzystywane</a:t>
            </a:r>
            <a:r>
              <a:rPr lang="pl-PL" sz="1200" b="1" baseline="0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 ź</a:t>
            </a:r>
            <a:r>
              <a:rPr lang="pl-PL" sz="1200" b="1">
                <a:solidFill>
                  <a:sysClr val="windowText" lastClr="000000"/>
                </a:solidFill>
                <a:latin typeface="Century Gothic" panose="020B0502020202020204" pitchFamily="34" charset="0"/>
              </a:rPr>
              <a:t>ródła finansowania parku maszyn i urządzeń*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Korzysta</c:v>
                </c:pt>
              </c:strCache>
            </c:strRef>
          </c:tx>
          <c:spPr>
            <a:solidFill>
              <a:srgbClr val="0EA615"/>
            </a:solidFill>
            <a:ln>
              <a:noFill/>
            </a:ln>
            <a:effectLst>
              <a:glow rad="38100">
                <a:schemeClr val="tx1">
                  <a:alpha val="40000"/>
                </a:schemeClr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615B-4BE9-AF07-4F301312353A}"/>
              </c:ext>
            </c:extLst>
          </c:dPt>
          <c:dPt>
            <c:idx val="1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615B-4BE9-AF07-4F301312353A}"/>
              </c:ext>
            </c:extLst>
          </c:dPt>
          <c:dPt>
            <c:idx val="2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381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615B-4BE9-AF07-4F301312353A}"/>
              </c:ext>
            </c:extLst>
          </c:dPt>
          <c:dPt>
            <c:idx val="3"/>
            <c:invertIfNegative val="0"/>
            <c:bubble3D val="0"/>
            <c:spPr>
              <a:solidFill>
                <a:srgbClr val="0B8311"/>
              </a:solidFill>
              <a:ln>
                <a:noFill/>
              </a:ln>
              <a:effectLst>
                <a:glow rad="25400">
                  <a:schemeClr val="tx1"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615B-4BE9-AF07-4F30131235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Środki własne</c:v>
                </c:pt>
                <c:pt idx="1">
                  <c:v>Leasing</c:v>
                </c:pt>
                <c:pt idx="2">
                  <c:v>Dotacje</c:v>
                </c:pt>
                <c:pt idx="3">
                  <c:v>Kredyt</c:v>
                </c:pt>
              </c:strCache>
            </c:strRef>
          </c:cat>
          <c:val>
            <c:numRef>
              <c:f>Arkusz1!$B$2:$B$5</c:f>
              <c:numCache>
                <c:formatCode>0.0%</c:formatCode>
                <c:ptCount val="4"/>
                <c:pt idx="0">
                  <c:v>0.79300000000000004</c:v>
                </c:pt>
                <c:pt idx="1">
                  <c:v>0.45700000000000002</c:v>
                </c:pt>
                <c:pt idx="2">
                  <c:v>0.20699999999999999</c:v>
                </c:pt>
                <c:pt idx="3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D-4359-9B72-3ED4C394D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-10"/>
        <c:axId val="294095296"/>
        <c:axId val="294094904"/>
      </c:barChart>
      <c:catAx>
        <c:axId val="2940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pl-PL"/>
          </a:p>
        </c:txPr>
        <c:crossAx val="294094904"/>
        <c:crosses val="autoZero"/>
        <c:auto val="1"/>
        <c:lblAlgn val="ctr"/>
        <c:lblOffset val="100"/>
        <c:noMultiLvlLbl val="0"/>
      </c:catAx>
      <c:valAx>
        <c:axId val="29409490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9409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latin typeface="Century Gothic" panose="020B0502020202020204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23B2-04B0-4CD3-BCA8-346E1CF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3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Karol Pietrasiak</cp:lastModifiedBy>
  <cp:revision>4</cp:revision>
  <cp:lastPrinted>2020-03-22T13:25:00Z</cp:lastPrinted>
  <dcterms:created xsi:type="dcterms:W3CDTF">2020-10-28T12:37:00Z</dcterms:created>
  <dcterms:modified xsi:type="dcterms:W3CDTF">2020-11-05T15:06:00Z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2020-10-27T15:46:35Z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